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4D_114/2025 vom 30. Juni 2025</w:t>
      </w:r>
    </w:p>
    <w:p>
      <w:r>
        <w:t>Bundesgericht, 2025-06-30, DE</w:t>
      </w:r>
    </w:p>
    <w:p>
      <w:r>
        <w:rPr>
          <w:b/>
        </w:rPr>
        <w:t xml:space="preserve">Quelle: </w:t>
      </w:r>
      <w:r>
        <w:t>https://mcp.opencaselaw.ch/entscheid/bger_4D_114_2025</w:t>
      </w:r>
    </w:p>
    <w:p>
      <w:r>
        <w:t>FR: TF 4D_114/2025 du 30 juin 2025</w:t>
      </w:r>
    </w:p>
    <w:p>
      <w:r>
        <w:t>IT: TF 4D_114/2025 del 30 giugno 2025</w:t>
      </w:r>
    </w:p>
    <w:p>
      <w:pPr>
        <w:pStyle w:val="Heading2"/>
      </w:pPr>
      <w:r>
        <w:t>Erwägungen</w:t>
      </w:r>
    </w:p>
    <w:p>
      <w:r>
        <w:rPr>
          <w:b/>
        </w:rPr>
        <w:t>E. 1</w:t>
      </w:r>
    </w:p>
    <w:p>
      <w:r>
        <w:t>Mit Verfügung vom 31. März 2025 gewährte die Schlichtungsbehörde des Zivilgerichts Basel-Stadt dem Beschwerdeführer die unentgeltliche Rechtspflege bis zu einem Streitwert von maximal Fr. 5'000.--; im darüber hinausgehenden Umfang wies sie den Antrag zufolge Aussichtslosigkeit ab.</w:t>
      </w:r>
    </w:p>
    <w:p>
      <w:r>
        <w:t>Mit Entscheid vom 16. Mai 2025 wies das Appellationsgericht des Kantons Basel-Stadt die vom Beschwerdeführer gegen die Verfügung der Schlichtungsbehörde vom 31. März 2025 erhobene Beschwerde ab, soweit es darauf eintrat.</w:t>
      </w:r>
    </w:p>
    <w:p>
      <w:r>
        <w:t>Mit Schreiben vom 23. Juni 2025 leitete das Appellationsgericht dem Bundesgericht eine Eingabe des Beschwerdeführers vom 19. Juni 2025 weiter, in der dieser sinngemäss erklärte, den Entscheid des Appellationsgerichts des Kantons Basel-Stadt vom 16. Mai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19. Juni 2025 erfüllt die genannten Begründungsanforderungen offensichtlich nicht. Er zeigt nicht unter Bezugnahme auf die Erwägungen des angefochtenen Entscheids des Appellationsgerichts des Kantons Basel-Stadt vom 16. Mai 2025 auf, inwiefern die Vorinstanz mit ihrem Entscheid verfassungsmässige Rechte verletzt hätte, sondern unterbreitet dem Bundesgericht unter Hinweis auf verschiedene Beilagen in unzulässiger Weise seine eigene Sicht der Dinge. Er erwähnt zwar verschiedene Bestimmungen der BV, der ZPO sowie des OR, zeigt jedoch nicht unter Bezugnahme auf die Erwägungen im angefochtenen Entscheid auf, inwiefern die Vorinstanz diese verletzt bzw. verfassungswidrig angewendet haben soll. Damit verfehlt er die gesetzlichen Begründungsanforderungen.</w:t>
      </w:r>
    </w:p>
    <w:p>
      <w:r>
        <w:t>Auf die Beschwerde ist somit bereits mangels hinreichender Begründung nicht einzutreten ( Art. 108 Abs. 1 lit. b BGG ).</w:t>
      </w:r>
    </w:p>
    <w:p>
      <w:r>
        <w:rPr>
          <w:b/>
        </w:rPr>
        <w:t>E. 3</w:t>
      </w:r>
    </w:p>
    <w:p>
      <w:r>
        <w:t>Mit dem Entscheid in der Sache wird das Gesuch um aufschiebende Wirkung gegenstandslos.</w:t>
      </w:r>
    </w:p>
    <w:p>
      <w:r>
        <w:t>Unter den gegebenen Umständen ist ausnahmsweise auf die Erhebung von Gerichtskosten zu verzichten (Art. 66 Abs. 1 zweiter Satz BGG), womit das Gesuch um Befreiung von diesen Kosten im bundesgerichtlichen Verfahren gegenstandslos wird.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