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114/2024 vom 29. August 2024</w:t>
      </w:r>
    </w:p>
    <w:p>
      <w:r>
        <w:t>Bundesgericht, 2024-08-29, DE</w:t>
      </w:r>
    </w:p>
    <w:p>
      <w:r>
        <w:rPr>
          <w:b/>
        </w:rPr>
        <w:t xml:space="preserve">Quelle: </w:t>
      </w:r>
      <w:r>
        <w:t>https://mcp.opencaselaw.ch/entscheid/bger_4D_114_2024</w:t>
      </w:r>
    </w:p>
    <w:p>
      <w:r>
        <w:t>FR: TF 4D 114/2024 du 29 août 2024</w:t>
      </w:r>
    </w:p>
    <w:p>
      <w:r>
        <w:t>IT: TF 4D 114/2024 del 29 agosto 2024</w:t>
      </w:r>
    </w:p>
    <w:p>
      <w:pPr>
        <w:pStyle w:val="Heading2"/>
      </w:pPr>
      <w:r>
        <w:t>Regeste</w:t>
      </w:r>
    </w:p>
    <w:p>
      <w:r>
        <w:t>Forderung, | Obligationenrecht (allgemein)</w:t>
      </w:r>
    </w:p>
    <w:p>
      <w:pPr>
        <w:pStyle w:val="Heading2"/>
      </w:pPr>
      <w:r>
        <w:t>Erwägungen</w:t>
      </w:r>
    </w:p>
    <w:p>
      <w:r>
        <w:rPr>
          <w:b/>
        </w:rPr>
        <w:t>E. 1</w:t>
      </w:r>
    </w:p>
    <w:p>
      <w:r>
        <w:t>Der Beschwerdeführer reichte beim Einzelgericht des Bezirksgerichts Meilen eine Schadenersatzklage ein. Darin forderte er von den beiden Beschwerdegegnerinnen Fr. 2'935.--. Mit Urteil vom 12. September 2023 wies das Einzelgericht diese Klage ab. Das Obergericht des Kantons Zürich wies mit Urteil vom 13. Juni 2024 eine vom Beschwerdeführer dagegen erhobene Beschwerde ab. Mit subsidiärer Verfassungsbeschwerde beantragt der Beschwerdeführer dem Bundesgericht, es sei das Urteil des Obergerichts des Kantons Zürich vom 13. Juni 2024 aufzuheben und die Sache zur Neubeurteilung an diese Instanz zurückzuweisen. Der Beschwerdeführer reichte sodann zwei Beschwerdeergänzungen ein. Es wurden keine Vernehmlassungen eingeholt.</w:t>
      </w:r>
    </w:p>
    <w:p>
      <w:r>
        <w:rPr>
          <w:b/>
        </w:rPr>
        <w:t>E. 2</w:t>
      </w:r>
    </w:p>
    <w:p>
      <w:r>
        <w:t>Das Bundesgericht prüft von Amtes wegen und mit freier Kognition, ob ein Rechtsmittel zulässig ist ( Art. 29 Abs. 1 BGG ; BGE 149 III 277 E. 3.1; 148 IV 155 E. 1.1 ; 145 I 121 E. 1).</w:t>
      </w:r>
    </w:p>
    <w:p>
      <w:r>
        <w:rPr>
          <w:b/>
        </w:rPr>
        <w:t>E. 2.1</w:t>
      </w:r>
    </w:p>
    <w:p>
      <w:r>
        <w:t>Bei Rechtsmitteln an das Bundesgericht muss die Beschwerdeschrift ein Rechtsbegehren enthalten ( Art. 42 Abs. 1 BGG ). Das Bundesgericht kann im Rahmen einer subsidiären Verfassungsbeschwerde in der Sache selbst, das heisst reformatorisch entscheiden (Art. 117 i.V.m. Art. 107 Abs. 2 BGG ). Entsprechend darf sich die beschwerdeführende Partei grundsätzlich nicht darauf beschränken, die blosse Aufhebung des angefochtenen Entscheids und die Rückweisung der Sache an die Vorinstanz zu beantragen. Vielmehr muss sie angeben, welche Punkte des vorinstanzlichen Entscheides sie anficht und welche Abänderung sie verlangt. Anträge auf Rückweisung der Sache an die Vorinstanz zu neuer Entscheidung oder blosse Aufhebungsanträge führen zur Unzulässigkeit der Beschwerde. Ein blosser Rückweisungsantrag genügt nur dann, wenn das Bundesgericht im Falle der Gutheissung in der Sache nicht selbst entscheiden könnte, weil die erforderlichen Sachverhaltsfeststellungen der Vorinstanz fehlen ( BGE 136 V 131 E. 1.2; 134 III 379 E. 1.3; 133 III 489 E. 3.1; je mit Hinweisen). Bei Geldforderungen müssen die Anträge zudem beziffert werden ( BGE 143 III 111 E. 1.2 mit Hinweis). Diesbezüglich genügt es, wenn sich aus der Beschwerdebegründung, allenfalls in Verbindung mit dem angefochtenen Entscheid, ohne weiteres klar ergibt, welchen Geldbetrag die beschwerdeführende Partei zugesprochen erhalten möchte ( BGE 143 III 111 E. 1.2; 134 III 235 E. 2 mit Hinweis). Dabei wird allerdings nicht vermutet, dass die beschwerdeführende Partei an ihren vorinstanzlichen Anträgen auch im Beschwerdeverfahren festhält (Urteile 4A_358/2022 vom 4. Oktober 2022 E. 2.1; 4A_288/2019 vom 11. September 2019 E. 1.2; 5A_1048/2017 vom 4. Dezember 2018 E. 2.2). Der Beschwerdeführer beziffert die genaue Höhe seiner Forderung weder in den Anträgen noch in der Begründung seiner Beschwerde näher. Vielmehr lässt er es dabei bewenden, einen Aufhebungs- und einen Rückweisungsantrag zu stellen. Auch aus der Beschwerde in Verbindung mit dem angefochtenen Urteil geht nicht eindeutig hervor, was der Beschwerdeführer vor Bundesgericht in der Sache genau erreichen möchte. Mangels eines ausreichenden materiellen Antrags ist daher auf seine subsidiäre Verfassungsbeschwerde nicht einzutreten.</w:t>
      </w:r>
    </w:p>
    <w:p>
      <w:r>
        <w:rPr>
          <w:b/>
        </w:rPr>
        <w:t>E. 2.2</w:t>
      </w:r>
    </w:p>
    <w:p>
      <w:r>
        <w:t>Eine inhaltliche Behandlung dieses Rechtsmittels hat aber auch noch aus einem weiteren Grund zu unterbleiben: 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Das Bundesgericht prüft die Verletzung von Grundrechten nur insofern, als eine solche Rüge in der Beschwerde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sodann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ansonsten darauf nicht eingetreten wird ( BGE 142 III 364 E. 2.4 mit Hinweisen; vgl. auch BGE 143 IV 40 E. 3.4). Der Beschwerdeführer befasst sich weder in seiner Beschwerdeschrift noch in seinen späteren Ergänzungen mit den einzelnen Erwägungen der Vorinstanz. Vielmehr unterbreitet er dem Bundesgericht bloss seine abweichende eigene Sachverhaltsdarstellung. Entsprechend vermag er nicht schlüssig aufzuzeigen, weshalb genau die tatsächlichen Feststellungen der Vorinstanz offensichtlich unrichtig sind oder auf einer Rechtsverletzung beruhen ( Art. 97 Abs. 1 BGG ). Die Behauptung, der angefochtene Entscheid sei "völlig daneben" vermag die erforderliche vertiefte Auseinandersetzung mit den vorinstanzlichen Motiven nicht zu ersetzen. Der Beschwerdeführer lässt auch offen, weshalb die Vorinstanz ihn in seinem Anspruch auf rechtliches Gehör verletzt habe. Zusammenfassend genügt die Beschwerde den gesetzlichen Begründungsanforderungen nicht, weshalb darauf nicht einzutreten ist ( Art. 108 Abs. 1 lit. b BGG ).</w:t>
      </w:r>
    </w:p>
    <w:p>
      <w:r>
        <w:rPr>
          <w:b/>
        </w:rPr>
        <w:t>E. 3</w:t>
      </w:r>
    </w:p>
    <w:p>
      <w:r>
        <w:t>Die Gerichtskosten sind dem Ausgang des Verfahrens entsprechend dem Beschwerdeführer aufzuerlegen ( Art. 66 Abs. 1 BGG ). Die Beschwerdegegnerinnen haben keinen Anspruch auf eine Parteientschädigung, da ihnen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