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4D_111/2024 vom 28. Januar 2025</w:t>
      </w:r>
    </w:p>
    <w:p>
      <w:r>
        <w:t>Bundesgericht, 2025-01-28, DE</w:t>
      </w:r>
    </w:p>
    <w:p>
      <w:r>
        <w:rPr>
          <w:b/>
        </w:rPr>
        <w:t xml:space="preserve">Quelle: </w:t>
      </w:r>
      <w:r>
        <w:t>https://mcp.opencaselaw.ch/entscheid/bger_4D_111_2024</w:t>
      </w:r>
    </w:p>
    <w:p>
      <w:r>
        <w:t>FR: TF 4D_111/2024 du 28 janvier 2025</w:t>
      </w:r>
    </w:p>
    <w:p>
      <w:r>
        <w:t>IT: TF 4D_111/2024 del 28 gennaio 2025</w:t>
      </w:r>
    </w:p>
    <w:p>
      <w:pPr>
        <w:pStyle w:val="Heading2"/>
      </w:pPr>
      <w:r>
        <w:t>Erwägungen</w:t>
      </w:r>
    </w:p>
    <w:p>
      <w:r>
        <w:rPr>
          <w:b/>
        </w:rPr>
        <w:t>E. 1</w:t>
      </w:r>
    </w:p>
    <w:p>
      <w:r>
        <w:t>Das Bezirksgerichts Visp erteilte mit Entscheid vom 15. April 2024 dem Beschwerdegegner in der Betreibung Nr. xxx des Betreibungsamts Oberwallis für Fr. 4'267.15 nebst Zins, Verzugszins und Verwaltungsgebühren die definitive Rechtsöffnung. Dagegen erhob der Beschwerdeführer Beschwerde beim Kantonsgericht Wallis. Das Kantonsgericht trat mit Entscheid vom 17. Juni 2024 auf die Beschwerde nicht ein, da der Beschwerdeführer den Kostenvorschuss nicht geleistet hatte. Gegen diesen Entscheid erhebt der Beschwerdeführer mit Eingabe vom 17. Juli 2024 Beschwerde an das Bundesgericht.</w:t>
      </w:r>
    </w:p>
    <w:p>
      <w:r>
        <w:rPr>
          <w:b/>
        </w:rPr>
        <w:t>E. 2</w:t>
      </w:r>
    </w:p>
    <w:p>
      <w:r>
        <w:t>Das Bundesgericht forderte den Beschwerdeführer mit Präsidialverfügung vom 19. Juli 2024 auf, spätestens am 29. August 2024 einen Kostenvorschuss von Fr. 500.-- einzuzahlen. Der Beschwerdeführer reichte dem Bundesgericht am 28. August 2024 eine weitere Eingabe ein. Da der Kostenvorschuss innerhalb dieser Frist nicht eingegangen war, wurde dem Beschwerdeführer mit Verfügung vom 4. September 2024 eine nicht erstreckbare Nachfrist zur Vorschussleistung bis zum 19. September 2024 angesetzt, unter Hinweis darauf, dass das Bundesgericht bei Säumnis auf das Rechtsmittel nicht eintreten werde ( Art. 62 Abs. 3 BGG ). Der Beschwerdeführer stellte dem Bundesgericht am 9. September 2024 eine weitere Eingabe zu. Er leistete jedoch den ihm auferlegten Kostenvorschuss auch innerhalb der angesetzten Nachfrist nicht.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