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4D_10/2023 vom 1. März 2023</w:t>
      </w:r>
    </w:p>
    <w:p>
      <w:r>
        <w:t>Bundesgericht, 2023-03-01, DE</w:t>
      </w:r>
    </w:p>
    <w:p>
      <w:r>
        <w:rPr>
          <w:b/>
        </w:rPr>
        <w:t xml:space="preserve">Quelle: </w:t>
      </w:r>
      <w:r>
        <w:t>https://mcp.opencaselaw.ch/entscheid/bger_4D_10_2023</w:t>
      </w:r>
    </w:p>
    <w:p>
      <w:r>
        <w:t>FR: TF 4D_10/2023 du 1 mars 2023</w:t>
      </w:r>
    </w:p>
    <w:p>
      <w:r>
        <w:t>IT: TF 4D_10/2023 del 1 marzo 2023</w:t>
      </w:r>
    </w:p>
    <w:p>
      <w:pPr>
        <w:pStyle w:val="Heading2"/>
      </w:pPr>
      <w:r>
        <w:t>Erwägungen</w:t>
      </w:r>
    </w:p>
    <w:p>
      <w:r>
        <w:rPr>
          <w:b/>
        </w:rPr>
        <w:t>E. 1</w:t>
      </w:r>
    </w:p>
    <w:p>
      <w:r>
        <w:t>Mit Entscheid vom 19. Juli 2022 wies das Regionalgericht Berner Jura-Seeland in einem vom Beschwerdeführer 2 angestrengten Forderungsprozess das Gesuch des Beschwerdeführers 2 um unentgeltliche Rechtspflege infolge Aussichtslosigkeit der Klage ab.</w:t>
      </w:r>
    </w:p>
    <w:p>
      <w:r>
        <w:t>Mit Verfügung vom 31. August 2022 forderte das Regionalgericht den Beschwerdeführer 2 zur Leistung eines Kostenvorschusses von Fr. 1'100.-- auf. Auf eine vom Beschwerdeführer 2 gegen diesen Entscheid erhobene Beschwerde trat das Obergericht des Kantons Bern mit Entscheid vom 3. Oktober 2022 nicht ein.</w:t>
      </w:r>
    </w:p>
    <w:p>
      <w:r>
        <w:t>Mit Verfügung vom 21. November 2022 forderte das Regionalgericht den Beschwerdeführer 2 unter Androhung der Säumnisfolgen auf, den Kostenvorschuss innerhalb der angesetzten Nachfrist zu bezahlen.</w:t>
      </w:r>
    </w:p>
    <w:p>
      <w:r>
        <w:t>Mit Entscheid vom 13. Januar 2023 trat das Obergericht des Kantons Bern auf eine vom Beschwerdeführer 2 gegen die regionalgerichtliche Verfügung vom 21. November 2022 erhobene Beschwerde infolge unzureichender Begründung des Rechtsmittels nicht ein.</w:t>
      </w:r>
    </w:p>
    <w:p>
      <w:r>
        <w:t>Mit Eingabe vom 13. Februar 2023 erklärten die Beschwerdeführer dem Bundesgericht, den Entscheid des Obergerichts des Kantons Bern vom 13. Januar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 behaupten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Zur Verfassungsbeschwerde ist nach Art. 115 BGG nur berechtigt, wer vor der Vorinstanz am Verfahren teilgenommen hat oder keine Möglichkeit zur Teilnahme erhalten hat (lit. a) und ein rechtlich geschütztes Interesse an der Aufhebung oder Änderung des angefochtenen Entscheids hat (lit. b). Die Beschwerdeführerin 1 hat am vorinstanzlichen Verfahren nicht teilgenommen, weshalb sie nicht zur Beschwerde berechtigt ist.</w:t>
      </w:r>
    </w:p>
    <w:p>
      <w:r>
        <w:t>Auf die Beschwerde der Beschwerdeführerin 1 ist daher im Verfahren nach Art. 108 Abs. 1 lit. a BGG nicht einzutreten.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Die Beschwerdeeingabe vom 13. Februar 2023 erfüllt die genannten Begründungsanforderungen offensichtlich nicht. Es wird darin nicht unter Bezugnahme auf die Erwägungen des angefochtenen Entscheids des Obergerichts des Kantons Bern vom 13. Januar 2023 aufgezeigt, inwiefern die Vorinstanz mit ihrem Nichteintretensentscheid verfassungsmässige Rechte verletzt hätte.</w:t>
      </w:r>
    </w:p>
    <w:p>
      <w:r>
        <w:t>Auf die Beschwerde ist somit bereits mangels hinreichender Begründung nicht einzutreten ( Art. 108 Abs. 1 lit. b BGG ).</w:t>
      </w:r>
    </w:p>
    <w:p>
      <w:r>
        <w:rPr>
          <w:b/>
        </w:rPr>
        <w:t>E. 3</w:t>
      </w:r>
    </w:p>
    <w:p>
      <w:r>
        <w:t>Es werden keine Parteientschädigungen zugesprochen.</w:t>
      </w:r>
    </w:p>
    <w:p>
      <w:r>
        <w:rPr>
          <w:b/>
        </w:rPr>
        <w:t>E. 4</w:t>
      </w:r>
    </w:p>
    <w:p>
      <w:r>
        <w:t>Dieses Urteil wird den Parteien und dem Obergericht des Kantons Bern, 2. Zivilkammer, schriftlich mitgeteilt.</w:t>
      </w:r>
    </w:p>
    <w:p>
      <w:r>
        <w:t>Lausanne, 1. März 2023</w:t>
      </w:r>
    </w:p>
    <w:p>
      <w:r>
        <w:t>Im Namen der I. zivilrechtlichen Abteilung</w:t>
      </w:r>
    </w:p>
    <w:p>
      <w:r>
        <w:t>des Schweizerischen Bundesgerichts</w:t>
      </w:r>
    </w:p>
    <w:p>
      <w:r>
        <w:t>Das präsidierende Mitglied: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