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4D_10/2020 vom 5. Februar 2020</w:t>
      </w:r>
    </w:p>
    <w:p>
      <w:r>
        <w:t>Bundesgericht, 2020-02-05, FR</w:t>
      </w:r>
    </w:p>
    <w:p>
      <w:r>
        <w:rPr>
          <w:b/>
        </w:rPr>
        <w:t xml:space="preserve">Quelle: </w:t>
      </w:r>
      <w:r>
        <w:t>https://mcp.opencaselaw.ch/entscheid/bger_4D_10_2020</w:t>
      </w:r>
    </w:p>
    <w:p>
      <w:r>
        <w:t>FR: TF 4D_10/2020 du 5 février 2020</w:t>
      </w:r>
    </w:p>
    <w:p>
      <w:r>
        <w:t>IT: TF 4D_10/2020 del 5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4D_10/2020</w:t>
      </w:r>
    </w:p>
    <w:p>
      <w:r>
        <w:t>Arrêt du 5 février 2020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demandeur et recourant,</w:t>
      </w:r>
    </w:p>
    <w:p>
      <w:r>
        <w:t>contre</w:t>
      </w:r>
    </w:p>
    <w:p>
      <w:r>
        <w:t>Z.________ SA,</w:t>
      </w:r>
    </w:p>
    <w:p>
      <w:r>
        <w:t>défenderesse et intimée.</w:t>
      </w:r>
    </w:p>
    <w:p>
      <w:r>
        <w:t>Objet</w:t>
      </w:r>
    </w:p>
    <w:p>
      <w:r>
        <w:t>contestation pécuniaire</w:t>
      </w:r>
    </w:p>
    <w:p>
      <w:r>
        <w:t>recours contre l'arrêt rendu le 27 novembre 2019 par la Chambre des recours civile du Tribunal cantonal du canton de Vaud</w:t>
      </w:r>
    </w:p>
    <w:p>
      <w:r>
        <w:t>(XZ16.034678-191737, 321).</w:t>
      </w:r>
    </w:p>
    <w:p>
      <w:r>
        <w:t>Considérant :</w:t>
      </w:r>
    </w:p>
    <w:p>
      <w:r>
        <w:t>Que la Chambre des recours civile du Tribunal cantonal du canton de Vaud a statué le 27 novembre 2019 dans une contestation opposant le demandeur X.________ à la défenderesse Z.________ SA;</w:t>
      </w:r>
    </w:p>
    <w:p>
      <w:r>
        <w:t>Que le demandeur a reçu notification de l'arrêt le 13 décembre 2019;</w:t>
      </w:r>
    </w:p>
    <w:p>
      <w:r>
        <w:t>Qu'il saisit le Tribunal fédéral d'un « recours »;</w:t>
      </w:r>
    </w:p>
    <w:p>
      <w:r>
        <w:t>Qu'il a expédié son mémoire adressé au tribunal par dépôt auprès d'un office postal en Espagne, le 24 janvier 2020;</w:t>
      </w:r>
    </w:p>
    <w:p>
      <w:r>
        <w:t>Que l'envoi a été pris en charge par la poste suisse le 31 du même mois;</w:t>
      </w:r>
    </w:p>
    <w:p>
      <w:r>
        <w:t>Qu'il est parvenu au Tribunal fédéral le 3 février 2020;</w:t>
      </w:r>
    </w:p>
    <w:p>
      <w:r>
        <w:t>Qu'en vertu de l' art. 100 al. 1 LTF , le demandeur devait observer un délai de recours de trente jours;</w:t>
      </w:r>
    </w:p>
    <w:p>
      <w:r>
        <w:t>Qu'en vertu de l' art. 44 al. 1 LTF et compte tenu de la suspension prévue par l' art. 46 al. 1 let . c LTF, ce délai s'est écoulé du 14 au 17 décembre 2019 et du 3 au 28 janvier 2020;</w:t>
      </w:r>
    </w:p>
    <w:p>
      <w:r>
        <w:t>Que selon la jurisprudence relative à l' art. 48 al. 1 LTF , l'observation du délai nécessitait que l'envoi fût pris en charge par la poste suisse au plus tard ce dernier jour, soit le mardi 28 janvier 2020 (arrêt 4A_258/2008 du 7 octobre 2008, consid. 2; arrêt 5A_59/2011 du 25 mars 2011, consid. 4, SJ 2011 I 349, relatif à l' art. 143 al. 1 CPC );</w:t>
      </w:r>
    </w:p>
    <w:p>
      <w:r>
        <w:t>Que l'envoi est ainsi parvenu hors délai à la poste suisse;</w:t>
      </w:r>
    </w:p>
    <w:p>
      <w:r>
        <w:t>Que le recours est en conséquence irrecevable parce que tardif;</w:t>
      </w:r>
    </w:p>
    <w:p>
      <w:r>
        <w:t>Que le recours semble irrecevable pour d'autres motifs également;</w:t>
      </w:r>
    </w:p>
    <w:p>
      <w:r>
        <w:t>Qu'il n'est cependant pas nécessaire de l'examiner de manière plus approfondie;</w:t>
      </w:r>
    </w:p>
    <w:p>
      <w:r>
        <w:t>Que son auteur doit acquitter l'émolument à percevoir par le Tribunal fédéral.</w:t>
      </w:r>
    </w:p>
    <w:p>
      <w:r>
        <w:t>Par ces motifs, vu l' art. 108 al. 1 let. a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 demandeur acquittera un émolument judiciaire de 200 francs.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5 février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