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4D_107/2024 vom 5. November 2024</w:t>
      </w:r>
    </w:p>
    <w:p>
      <w:r>
        <w:t>Bundesgericht, 2024-11-05, DE</w:t>
      </w:r>
    </w:p>
    <w:p>
      <w:r>
        <w:rPr>
          <w:b/>
        </w:rPr>
        <w:t xml:space="preserve">Quelle: </w:t>
      </w:r>
      <w:r>
        <w:t>https://mcp.opencaselaw.ch/entscheid/bger_4D_107_2024</w:t>
      </w:r>
    </w:p>
    <w:p>
      <w:r>
        <w:t>FR: TF 4D_107/2024 du 5 novembre 2024</w:t>
      </w:r>
    </w:p>
    <w:p>
      <w:r>
        <w:t>IT: TF 4D_107/2024 del 5 novembre 2024</w:t>
      </w:r>
    </w:p>
    <w:p>
      <w:pPr>
        <w:pStyle w:val="Heading2"/>
      </w:pPr>
      <w:r>
        <w:t>Erwägungen</w:t>
      </w:r>
    </w:p>
    <w:p>
      <w:r>
        <w:rPr>
          <w:b/>
        </w:rPr>
        <w:t>E. 1</w:t>
      </w:r>
    </w:p>
    <w:p>
      <w:r>
        <w:t>Das Bundesgericht prüft von Amtes wegen und mit freier Kognition, ob ein Rechtsmittel zulässig ist ( Art. 29 Abs. 1 BGG ; BGE 149 III 277 E. 3.1 mit Hinweisen).</w:t>
      </w:r>
    </w:p>
    <w:p>
      <w:r>
        <w:rPr>
          <w:b/>
        </w:rPr>
        <w:t>E. 1.1</w:t>
      </w:r>
    </w:p>
    <w:p>
      <w:r>
        <w:t>Die Beschwerde gegen einen Entscheid ist innert 30 Tagen nach der Eröffnung der vollständigen Ausfertigung beim Bundesgericht einzureichen ( Art. 100 Abs. 1 BGG ). Der angefochtene Entscheid des Kantonsgerichts Luzern vom 10. Juni 2024 wurde dem Beschwerdeführer am 13. Juni 2024 zugestellt und somit schriftlich begründet eröffnet. Die Beschwerdefrist von dreissig Tagen begann damit am 14. Juni 2024 zu laufen ( Art. 44 Abs. 1 BGG ) und endete am 16. August 2024 ( Art. 45 Abs. 1, Art. 46 Abs. 1 lit. b BGG ). Der Beschwerdeführer hat seine Beschwerde fristgerecht am 8. Juli 2024 zu Handen des Bundesgerichts der Schweizerischen Post übergeben. Die ergänzende Eingabe mit Postaufgabe am 20. August 2024 erfolgte dagegen verspätet und ist nicht zu berücksichtigen.</w:t>
      </w:r>
    </w:p>
    <w:p>
      <w:r>
        <w:rPr>
          <w:b/>
        </w:rPr>
        <w:t>E. 1.2</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1.3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1.4</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2.1</w:t>
      </w:r>
    </w:p>
    <w:p>
      <w:r>
        <w:t>Die Erstinstanz erwog, der Beschwerdegegner stütze sein Rechtsöffnungsgesuch auf den Einspracheentscheid vom 24. August 2023 und die dazugehörige Schlussrechnung, die den formellen Anforderungen an vollstreckbare steuerrechtliche Verfügungen genügen und die Voraussetzung für die Gewährung der definitiven Rechtsöffnung erfüllen würden. Der Beschwerdeführer erhebe keine Einwendungen gemäss Art. 81 SchKG , die dies verhindern könnten. Er erläutere und berechne einzig unter Beilage eines Stapels von Unterlagen, weshalb die Staats- und Gemeindesteuern nach seiner Ansicht zu hoch veranlagt und fakturiert worden seien. Damit verkenne er, dass das Rechtsöffnungsverfahren nicht dazu diene, die Steuerforderung nochmals auf ihre Höhe und Angemessenheit zu überprüfen. Hierzu hätte der Beschwerdeführer gegen den Einspracheentscheid Verwaltungsgerichtsbeschwerde führen können. Das Versäumen der Erhebung dieses Rechtsmittels könne nicht im Rechtsöffnungsverfahren nachgeholt werden. Die Vorinstanz trat auf die Beschwerde gegen den Rechtsöffnungsentscheid mit der Begründung nicht ein, der Beschwerdeführer setze sich nicht mit den zutreffenden Erwägungen der Vorinstanz auseinander. Er schildere erneut seine Sicht der Dinge zur Berechnung der Staats- und Gemeindesteuern. Diese Wiederholung der erstinstanzlichen Vorbringen stelle keine Auseinandersetzung mit dem angefochtenen Entscheid dar.</w:t>
      </w:r>
    </w:p>
    <w:p>
      <w:r>
        <w:rPr>
          <w:b/>
        </w:rPr>
        <w:t>E. 2.2</w:t>
      </w:r>
    </w:p>
    <w:p>
      <w:r>
        <w:t>Der subsidiären Verfassungsbeschwerde vor Bundesgericht kann somit nur Erfolg beschieden sein, wenn der Beschwerdeführer hinreichend begründet, inwiefern die Vorinstanz in Anwendung der formellen Anforderungen an eine hinreichende Beschwerdebegründung im kantonalen Verfahren verfassungsmässige Rechte verletzt hätte. Der Beschwerdeführer begnügt sich indes auch vor Bundesgericht damit, zahlreiche Beilagen zur Steuerveranlagung einzureichen und die Vermutung aufzustellen, jemand habe einen Fehler begangen, der durch das Bundesgericht korrigiert werden müsse. Damit genügt er den Anforderungen an eine hinreichende Beschwerde vor dem Bundesgericht offensichtlich nicht. Auf die Beschwerde ist somit mangels hinreichender Begründung nicht einzutreten ( Art. 108 Abs. 1 lit. b BGG ).</w:t>
      </w:r>
    </w:p>
    <w:p>
      <w:r>
        <w:rPr>
          <w:b/>
        </w:rPr>
        <w:t>E. 3</w:t>
      </w:r>
    </w:p>
    <w:p>
      <w:r>
        <w:t>Der Beschwerdeführer wird bei diesem Verfahrensausgang kostenpflichtig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