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106/2025 vom 19. August 2025</w:t>
      </w:r>
    </w:p>
    <w:p>
      <w:r>
        <w:t>Bundesgericht, 2025-08-19, DE</w:t>
      </w:r>
    </w:p>
    <w:p>
      <w:r>
        <w:rPr>
          <w:b/>
        </w:rPr>
        <w:t xml:space="preserve">Quelle: </w:t>
      </w:r>
      <w:r>
        <w:t>https://mcp.opencaselaw.ch/entscheid/bger_4D_106_2025</w:t>
      </w:r>
    </w:p>
    <w:p>
      <w:r>
        <w:t>FR: TF 4D 106/2025 du 19 août 2025</w:t>
      </w:r>
    </w:p>
    <w:p>
      <w:r>
        <w:t>IT: TF 4D 106/2025 del 19 agosto 2025</w:t>
      </w:r>
    </w:p>
    <w:p>
      <w:pPr>
        <w:pStyle w:val="Heading2"/>
      </w:pPr>
      <w:r>
        <w:t>Regeste</w:t>
      </w:r>
    </w:p>
    <w:p>
      <w:r>
        <w:t>Fristwiederherstellung, Nichteintretensentscheid, | Vertragsrecht</w:t>
      </w:r>
    </w:p>
    <w:p>
      <w:pPr>
        <w:pStyle w:val="Heading2"/>
      </w:pPr>
      <w:r>
        <w:t>Erwägungen</w:t>
      </w:r>
    </w:p>
    <w:p>
      <w:r>
        <w:rPr>
          <w:b/>
        </w:rPr>
        <w:t>E. 1</w:t>
      </w:r>
    </w:p>
    <w:p>
      <w:r>
        <w:t>Mit Entscheid vom 13. Juni 2025 trat das Kantonsgericht St. Gallen auf eine vom Beschwerdeführer gegen den Entscheid des Kreisgerichts Werdenberg-Sarganserland vom 24. März 2025 erhobene Beschwerde infolge unzureichender Begründung der Rechtsmitteleingabe nicht ein. Mit Eingaben vom 17. und 18. Juni 2025 erklärte der Beschwerdeführer dem Bundesgericht, den Entscheid des Kantonsgerichts vom 13. Juni 2025 mit Beschwerde anfechten zu wollen. 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 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 Neue tatsächliche Vorbringen und Beweismittel sind grundsätzlich ausgeschlossen und neue Begehren unzulässig (Art. 99 i.V.m. Art. 117 BGG ).</w:t>
      </w:r>
    </w:p>
    <w:p>
      <w:r>
        <w:rPr>
          <w:b/>
        </w:rPr>
        <w:t>E. 2.4</w:t>
      </w:r>
    </w:p>
    <w:p>
      <w:r>
        <w:t>Die Eingaben des Beschwerdeführers vom 17. und 18. Juni 2025 erfüllen die genannten Begründungsanforderungen offensichtlich nicht. Er zeigt nicht unter Bezugnahme auf die Erwägungen des angefochtenen Entscheids des Kantonsgericht St. Gallen vom 13. Juni 2025 auf, inwiefern die Vorinstanz mit ihrem Nichteintretensentscheid verfassungsmässige Rechte verletzt hätte, sondern unterbreitet dem Bundesgericht in unzulässiger Weise seine eigene Sicht der Dinge. Er erwähnt zwar die Rechtsgleichheit ( Art. 8 BV ), das Willkürverbot ( Art. 9 BV ), den verfassungsrechtlichen Anspruch auf ein faires Verfahren ( Art. 29 Abs. 1 BV ) und den Anspruch auf rechtliches Gehör ( Art. 29 Abs. 2 BV ), zeigt jedoch nicht unter Bezugnahme auf die Erwägungen im angefochtenen Entscheid auf, inwiefern die Vorinstanz diese verletzt haben soll. Damit verfehlt er die gesetzlichen Begründungsanforderungen. Auf die Beschwerde ist somit mangels hinreichender Begründung nicht einzutreten ( Art. 108 Abs. 1 lit. b BGG ).</w:t>
      </w:r>
    </w:p>
    <w:p>
      <w:r>
        <w:rPr>
          <w:b/>
        </w:rPr>
        <w:t>E. 3</w:t>
      </w:r>
    </w:p>
    <w:p>
      <w:r>
        <w:t>Der Beschwerdeführer wird bei diesem Verfahrensausgang kostenpflichtig ( Art. 66 Abs. 1 BGG ). Dem Beschwerdegegner steht keine Parteientschädigung zu,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