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4D_100/2025 vom 8. Juli 2025</w:t>
      </w:r>
    </w:p>
    <w:p>
      <w:r>
        <w:t>Bundesgericht, 2025-07-08, DE</w:t>
      </w:r>
    </w:p>
    <w:p>
      <w:r>
        <w:rPr>
          <w:b/>
        </w:rPr>
        <w:t xml:space="preserve">Quelle: </w:t>
      </w:r>
      <w:r>
        <w:t>https://mcp.opencaselaw.ch/entscheid/bger_4D_100_2025</w:t>
      </w:r>
    </w:p>
    <w:p>
      <w:r>
        <w:t>FR: TF 4D_100/2025 du 8 juillet 2025</w:t>
      </w:r>
    </w:p>
    <w:p>
      <w:r>
        <w:t>IT: TF 4D_100/2025 del 8 luglio 2025</w:t>
      </w:r>
    </w:p>
    <w:p>
      <w:pPr>
        <w:pStyle w:val="Heading2"/>
      </w:pPr>
      <w:r>
        <w:t>Erwägungen</w:t>
      </w:r>
    </w:p>
    <w:p>
      <w:r>
        <w:rPr>
          <w:b/>
        </w:rPr>
        <w:t>E. 1</w:t>
      </w:r>
    </w:p>
    <w:p>
      <w:r>
        <w:t>Mit Entscheid vom 3. Juni 2025 trat das Kantonsgericht Basel-Landschaft auf die von der Beschwerdeführerin gegen den Entscheid des Zivilkreisgerichts Basel-Landschaft West vom 10. April 2025 erhobene Beschwerde zufolge Nichtleistung des Kostenvorschusses nicht ein.</w:t>
      </w:r>
    </w:p>
    <w:p>
      <w:r>
        <w:t>Mit Eingabe vom 3. Juni 2025 erklärte die Beschwerdeführerin dem Bundesgericht, den Entscheid des Kantonsgerichts Basel-Landschaft vom 3. Juni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3. Juni 2025 erfüllt die genannten Begründungsanforderungen offensichtlich nicht. Sie zeigt nicht unter Bezugnahme auf die Erwägungen des angefochtenen Entscheids des Kantonsgerichts Basel-Landschaft vom 3. Juni 2025 auf, inwiefern die Vorinstanz mit ihrem Nichteintretensentscheid verfassungsmässige Rechte verletzt hätte, sondern unterbreitet dem Bundesgericht in unzulässiger Weise ihre eigene Sicht der Dinge. Sie erwähnt zwar verschiedene Verfassungsbestimmungen, so etwa Art. 29 Abs. 1 und 3 BV , zeigt jedoch nicht unter Bezugnahme auf die Erwägungen im angefochtenen Entscheid auf, inwiefern die Vorinstanz diese verletzt haben soll. Damit verfehlt sie die gesetzlichen Begründungsanforderungen.</w:t>
      </w:r>
    </w:p>
    <w:p>
      <w:r>
        <w:t>Auf die Beschwerde ist somit bereits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