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4D_100/2024 vom 9. September 2024</w:t>
      </w:r>
    </w:p>
    <w:p>
      <w:r>
        <w:t>Bundesgericht, 2024-09-09, DE</w:t>
      </w:r>
    </w:p>
    <w:p>
      <w:r>
        <w:rPr>
          <w:b/>
        </w:rPr>
        <w:t xml:space="preserve">Quelle: </w:t>
      </w:r>
      <w:r>
        <w:t>https://mcp.opencaselaw.ch/entscheid/bger_4D_100_2024</w:t>
      </w:r>
    </w:p>
    <w:p>
      <w:r>
        <w:t>FR: TF 4D_100/2024 du 9 septembre 2024</w:t>
      </w:r>
    </w:p>
    <w:p>
      <w:r>
        <w:t>IT: TF 4D_100/2024 del 9 settembre 2024</w:t>
      </w:r>
    </w:p>
    <w:p>
      <w:pPr>
        <w:pStyle w:val="Heading2"/>
      </w:pPr>
      <w:r>
        <w:t>Erwägungen</w:t>
      </w:r>
    </w:p>
    <w:p>
      <w:r>
        <w:rPr>
          <w:b/>
        </w:rPr>
        <w:t>E. 1</w:t>
      </w:r>
    </w:p>
    <w:p>
      <w:r>
        <w:t>Die Parteien schlossen am 21. April 2021 einen Mäklervertrag betreffend die im Eigentum des Beschwerdeführers stehende 3.5-Zimmer-Dachwohnung am (...). Über die Bezahlung des Mäklerlohns sind sich die Parteien uneinig. Mit Entscheid vom 18. August 2023 hiess das Präsidium des Zivilgerichts am Bezirksgericht Muri eine Klage der Beschwerdegegnerin gut und verpflichtete den Beschwerdeführer, der Beschwerdegegnerin Fr. 28'002.-- (inkl. Mehrwertsteuer) nebst Zins zu bezahlen. Weiter hob es den Rechtsvorschlag des Beschwerdeführers in der Betreibung Nr. xxx des Betreibungsamtes Oberrüti (Zahlungsbefehl vom 2. Juli 2021) in entsprechendem Umfang auf. Auf eine vom Beschwerdeführer dagegen erhobene Berufung trat das Obergericht des Kantons Aargau mit Entscheid vom 30. Mai 2024 nicht ein. Dagegen erhob der Beschwerdeführer mit Eingabe vom 26. Juni 2024 (Postaufgabe am 27. Juni 2024) beim Bundesgericht Beschwerde. 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w:t>
      </w:r>
    </w:p>
    <w:p>
      <w:r>
        <w:t>Die Vorinstanz trat auf die Berufung des Beschwerdeführers nicht ein, weil die Berufungsschrift den gesetzlichen Rüge- und Begründungsanforderungen nicht genüge. Der Beschwerdeführer setzt sich in seiner Eingabe vom 26./27. Juni 2024 nicht, jedenfalls nicht hinreichend, mit den entsprechenden Erwägungen der Vorinstanz auseinander und legt nicht, jedenfalls nicht rechtsgenügend dar, welche Rechte diese inwiefern verletzt haben soll, indem sie auf seine Berufung mangels genügender Begründung nicht eintrat. Vielmehr unterbreitet er dem Bundesgericht lediglich seine Sicht der Dinge in der Sache selbst. Damit genügt die vorliegende Beschwerde den vorstehend (Erwägung 2) dargestellten Begründungsanforderungen offensichtlich nicht, weshalb darauf nicht eingetreten werden kann ( Art. 108 Abs. 1 lit. b BGG ).</w:t>
      </w:r>
    </w:p>
    <w:p>
      <w:r>
        <w:rPr>
          <w:b/>
        </w:rPr>
        <w:t>E. 4</w:t>
      </w:r>
    </w:p>
    <w:p>
      <w:r>
        <w:t>Dem Ausgang des Verfahrens entsprechend sind die Gerichtskosten dem Beschwerdeführer aufzuerlegen ( Art. 66 Abs. 1 BGG ). Dieser hat keinen Anspruch auf eine Entschädigung für das Verfahren ( Art. 68 BGG ). Auch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