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4C_1/2008 vom 9. März 2009</w:t>
      </w:r>
    </w:p>
    <w:p>
      <w:r>
        <w:t>Bundesgericht, 2009-03-09, DE</w:t>
      </w:r>
    </w:p>
    <w:p>
      <w:r>
        <w:rPr>
          <w:b/>
        </w:rPr>
        <w:t xml:space="preserve">Quelle: </w:t>
      </w:r>
      <w:r>
        <w:t>https://mcp.opencaselaw.ch/entscheid/bger_4C_1_2008</w:t>
      </w:r>
    </w:p>
    <w:p>
      <w:r>
        <w:t>FR: TF 4C_1/2008 du 9 mars 2009</w:t>
      </w:r>
    </w:p>
    <w:p>
      <w:r>
        <w:t>IT: TF 4C_1/2008 del 9 marzo 2009</w:t>
      </w:r>
    </w:p>
    <w:p>
      <w:pPr>
        <w:pStyle w:val="Heading2"/>
      </w:pPr>
      <w:r>
        <w:t>Erwägungen</w:t>
      </w:r>
    </w:p>
    <w:p>
      <w:r>
        <w:rPr>
          <w:b/>
        </w:rPr>
        <w:t>E. 1</w:t>
      </w:r>
    </w:p>
    <w:p>
      <w:r>
        <w:t>In der Beschwerdebegründung wird ausgeführt, die Beschwerdeerhebung erfolge vorsorglich für den Fall, dass das SECO die Genehmigung nicht widerrufe. Bis heute ist dem Gericht nicht bekannt gegeben worden, ob die Genehmigung widerrufen wurde oder nicht. Es fragt sich, ob eine unzulässige bedingte Beschwerdeführung vorliegt, auf die nicht einzutreten wäre (vgl. dazu BGE 134 III 332 ). Dies ist zu verneinen, weil die Beschwerdeerklärung selber unbedingt erfolgt und nur in der Begründung auf das hängige Verfahren betreffend den Widerruf der Genehmigung hingewiesen wird. Unter diesem Aspekt steht dem Eintreten auf die Beschwerde somit nichts entgegen.</w:t>
      </w:r>
    </w:p>
    <w:p>
      <w:r>
        <w:rPr>
          <w:b/>
        </w:rPr>
        <w:t>E. 2</w:t>
      </w:r>
    </w:p>
    <w:p>
      <w:r>
        <w:t>Die Beschwerde richtet sich gegen einen Beschluss des Staatsrates des Kantons Wallis, mit dem der Gesamtarbeitsvertrag des Metallbaugewerbes des Kantons Wallis als für das Gebiet des Kantons Wallis allgemein verbindlich erklärt wurde. Zunächst ist die Rechtsnatur dieses Beschlusses zu klären.</w:t>
      </w:r>
    </w:p>
    <w:p>
      <w:r>
        <w:t>Eine Verfügung, mithin ein individuell-konkreter Hoheitsakt, liegt nicht vor, da sich der Beschluss des Staatsrates des Kantons Wallis nicht an einzelne, bestimmte Personen richtet und nicht ein konkretes verwaltungsrechtliches Rechtsverhältnis rechtsgestaltend oder feststellend in verbindlicher und erzwingbarer Weise regelt. Dies gilt jedenfalls gegenüber Aussenseitern, also nicht gegenüber den Antrag stellenden Vertragsparteien ( BGE 128 II 13 E. 1d).</w:t>
      </w:r>
    </w:p>
    <w:p>
      <w:r>
        <w:t>Gegenüber den Aussenseitern ist der Beschluss über die Allgemeinverbindlicherklärung als Erlass zu betrachten ( BGE 128 II 13 E. 2a S. 18). Die Wirkung dieses Rechtsetzungsaktes beschränkt sich freilich auf die Ausdehnung der Vertragsbindung, ohne dass der Inhalt des GAV mitgestaltet wird. Mit anderen Worten schafft die behördliche Allgemeinverbindlicherklärung selbst keine Rechtssätze, sondern es wird nur der personelle Geltungsbereich bestehender Normen (eben derjeniger des GAV) ausgedehnt (Portmann, in: Basler Kommentar, 4. Aufl. 2007, N. 21 zu Art. 357 OR ; Vischer, Der Arbeitsvertrag, 3. Aufl. 2005, S. 363).</w:t>
      </w:r>
    </w:p>
    <w:p>
      <w:r>
        <w:t>Beschränkt sich die Allgemeinverbindlicherklärung auf das Gebiet eines Kantons oder auf Teile desselben, bildet sie einen kantonalen Erlass. Gegen kantonale Erlasse ist die Beschwerde in öffentlich-rechtlichen Angelegenheiten an das Bundesgericht zulässig ( Art. 82 lit. b BGG ). Im vorliegenden Fall, der das Sachgebiet des Arbeitsrechts betrifft, ist zu deren Behandlung die Erste zivilrechtliche Abteilung zuständig ( Art. 31 Abs. 2 BGerR ).</w:t>
      </w:r>
    </w:p>
    <w:p>
      <w:r>
        <w:t>Da im Kanton Wallis kein Rechtsmittel gegen Erlasse offen steht, ist unmittelbar die Beschwerde an das Bundesgericht zulässig ( Art. 87 Abs. 1 BGG ). Die Beschwerdefrist wurde eingehalten ( Art. 101 BGG ).</w:t>
      </w:r>
    </w:p>
    <w:p>
      <w:r>
        <w:rPr>
          <w:b/>
        </w:rPr>
        <w:t>E. 3</w:t>
      </w:r>
    </w:p>
    <w:p>
      <w:r>
        <w:t>Zur Beschwerde in öffentlich-rechtlichen Angelegenheiten ist berechtigt, wer vor der Vorinstanz am Verfahren teilgenommen oder keine Möglichkeit zur Teilnahme erhalten hat, durch den angefochtenen Entscheid oder Erlass besonders berührt ist und ein schutzwürdiges Interesse an dessen Aufhebung oder Änderung hat ( Art. 89 Abs. 1 BGG ).</w:t>
      </w:r>
    </w:p>
    <w:p>
      <w:r>
        <w:rPr>
          <w:b/>
        </w:rPr>
        <w:t>E. 3.1</w:t>
      </w:r>
    </w:p>
    <w:p>
      <w:r>
        <w:t>Das Erfordernis der formellen Beschwer entfällt, wenn direkt gegen einen Erlass Beschwerde ergriffen wird ( BGE 133 I 286 E. 2.2 S. 290).</w:t>
      </w:r>
    </w:p>
    <w:p>
      <w:r>
        <w:t>Die Voraussetzung des besonderen Berührtseins schliesst denjenigen aus, der lediglich ein allgemeines Interesse ohne persönliche Betroffenheit hat. Der Beschwerdeführer muss stärker als jedermann betroffen sein; er muss besonders berührt sein.</w:t>
      </w:r>
    </w:p>
    <w:p>
      <w:r>
        <w:t>Anders als bei den Beschwerden in Zivil- und in Strafsachen, bei denen der Beschwerdeführer ein rechtlich geschütztes Interesse haben muss ( Art. 76 Abs. 1 lit. b und Art. 81 Abs. 1 lit. b BGG ), genügt bei der Beschwerde in öffentlich-rechtlichen Angelegenheiten ein schutzwürdiges Interesse. Dieses kann rechtlicher oder tatsächlicher Natur sein ( BGE 133 I 286 E. 2.2 S. 290).</w:t>
      </w:r>
    </w:p>
    <w:p>
      <w:r>
        <w:t>Bei der Anfechtung von Erlassen braucht die persönliche Betroffenheit nur virtuell zu sein, d.h. es muss die Wahrscheinlichkeit bestehen, dass der Erlass einmal auf den Beschwerdeführer Anwendung findet ( BGE 133 I 286 E. 2.2 ; 131 I 291 E. 1.3 S. 296). Das Anrufen bloss allgemeiner öffentlicher Interessen genügt zur Begründung der Legitimation nicht; auch zur Anfechtung von Erlassen ist ein drohender Eingriff in schutzwürdige eigene Interessen erforderlich (vgl. BGE 123 I 41 E. 5b S. 42 f. ; 122 I 44 E. 2b S. 45 f.).</w:t>
      </w:r>
    </w:p>
    <w:p>
      <w:r>
        <w:rPr>
          <w:b/>
        </w:rPr>
        <w:t>E. 3.2</w:t>
      </w:r>
    </w:p>
    <w:p>
      <w:r>
        <w:t>Im vorliegenden Fall gebricht es an diesen Voraussetzungen für die Beschwerdelegitimation. Die Beschwerdeführerin ist ein Treuhand- und Informatikunternehmen mit Sitz in A.________ im Kanton Zürich. Die für das Gebiet des Kantons Wallis allgemein verbindlich erklärten Normen des Gesamtarbeitsvertrages des Metallbaugewerbes des Kantons Wallis finden auf die Beschwerdeführerin von ihrem Tätigkeitsbereich her keine Anwendung. Sie ist demnach nicht einmal virtuell betroffen. Wenn sie geltend macht, sie sei mittelbar betroffen, indem ihre Kunden (Personalverleihbetriebe) gewissen Bestimmungen des GAV unterstellt sein könnten, so genügt dies nicht. Die Betroffenheit darf nicht bloss mittelbar sein, sondern der Beschwerdeführer muss in den eigenen Interessen betroffen sein. Vorliegend besteht die Wahrscheinlichkeit nicht, dass der streitbetroffene GAV auf die Beschwerdeführerin Anwendung finden wird.</w:t>
      </w:r>
    </w:p>
    <w:p>
      <w:r>
        <w:t>Die Beschwerdeführerin ist demnach nicht zur Beschwerde berechtigt, weshalb auf ihre Beschwerde nicht einzutreten ist.</w:t>
      </w:r>
    </w:p>
    <w:p>
      <w:r>
        <w:rPr>
          <w:b/>
        </w:rPr>
        <w:t>E. 4.1</w:t>
      </w:r>
    </w:p>
    <w:p>
      <w:r>
        <w:t>Damit erübrigen sich Ausführungen zur Zulässigkeit der erhobenen Beschwerdegründe. Bemerkt sei immerhin, dass der Anspruch auf rechtliches Gehör im Rechtsetzungsverfahren nicht gilt ( BGE 131 I 91 E. 3.1 S. 95 ; 121 I 230 E. 2c S. 232; 119 Ia 141 E. 5c/aa S. 149 f.). Was die Einhaltung der Verfahrensvorschriften des AVEG betrifft, so wird die ordnungsgemässe Durchführung des Verfahrens im Genehmigungsverfahren überwacht ( Art. 13 Abs. 2 AVEG ).</w:t>
      </w:r>
    </w:p>
    <w:p>
      <w:r>
        <w:rPr>
          <w:b/>
        </w:rPr>
        <w:t>E. 4.2</w:t>
      </w:r>
    </w:p>
    <w:p>
      <w:r>
        <w:t>Offen bleiben kann die Frage, ob die Beschwerde im Sinne der Ausführungen des Beschwerdegegners als gegenstandslos zu betrachten ist, nachdem die von der Beschwerdeführerin in der Einsprache beanstandete deutsche Fassung von Art. 25 Abs. 6 GAV zwischenzeitlich durch eine korrigierte Fassung ersetzt worden ist. In diesem Zusammenhang ist bloss festzuhalten, dass sich die Beschwerdeführerin in ihrer Beschwerde lediglich über Verfahrensmängel beschwert, nicht aber materielle Bestimmungen des GAV anficht. Ob dies statthaft ist, erscheint fraglich (vgl. Erwägung 4.1).</w:t>
      </w:r>
    </w:p>
    <w:p>
      <w:r>
        <w:rPr>
          <w:b/>
        </w:rPr>
        <w:t>E. 5</w:t>
      </w:r>
    </w:p>
    <w:p>
      <w:r>
        <w:t>Auf die Beschwerde kann nicht eingetreten werden. Bei diesem Verfahrensausgang wird die Beschwerdeführerin kostenpflichtig ( Art. 66 Abs. 1 BGG ). Dem Staatsrat des Kantons Wallis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