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4C.98/2001 vom 12. Juni 2001</w:t>
      </w:r>
    </w:p>
    <w:p>
      <w:r>
        <w:t>Bundesgericht, 2001-06-12, FR</w:t>
      </w:r>
    </w:p>
    <w:p>
      <w:r>
        <w:rPr>
          <w:b/>
        </w:rPr>
        <w:t xml:space="preserve">Quelle: </w:t>
      </w:r>
      <w:r>
        <w:t>https://mcp.opencaselaw.ch/entscheid/bger_4C.98_2001</w:t>
      </w:r>
    </w:p>
    <w:p>
      <w:r>
        <w:t>FR: TF 4C.98/2001 du 12 juin 2001</w:t>
      </w:r>
    </w:p>
    <w:p>
      <w:r>
        <w:t>IT: TF 4C.98/2001 del 12 giugno 2001</w:t>
      </w:r>
    </w:p>
    <w:p>
      <w:pPr>
        <w:pStyle w:val="Heading2"/>
      </w:pPr>
      <w:r>
        <w:t>Regeste</w:t>
      </w:r>
    </w:p>
    <w:p>
      <w:r>
        <w:t>Droit des contrats</w:t>
      </w:r>
    </w:p>
    <w:p>
      <w:pPr>
        <w:pStyle w:val="Heading2"/>
      </w:pPr>
      <w:r>
        <w:t>Erwägungen</w:t>
      </w:r>
    </w:p>
    <w:p>
      <w:r>
        <w:rPr>
          <w:b/>
        </w:rPr>
        <w:t>E. 1</w:t>
      </w:r>
    </w:p>
    <w:p>
      <w:r>
        <w:t>a) Interjeté par la société qui a été condamnée à verser différents montants à son ex-employée ainsi qu'à la caisse de chômage subrogée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Il ne peut être présenté de griefs contre les constatations de fait, ni de faits ou de moyens de preuve nouveaux ( art. 55 al. 1 let . c OJ). Dans la mesure où la défenderesse invoque des faits qui n'ont pas été constatés par la cour cantonale, sans invoquer une exception lui permettant de s'en écarter, son recours n'est pas admissible.</w:t>
      </w:r>
    </w:p>
    <w:p>
      <w:r>
        <w:rPr>
          <w:b/>
        </w:rPr>
        <w:t>E. 2</w:t>
      </w:r>
    </w:p>
    <w:p>
      <w:r>
        <w:t>Dans sa réponse, la demanderesse sollicite des sûretés pour frais judiciaires et dépens en raison de l'insolvabilité de la défenderesse, conformément à l' art. 150 al. 2 OJ . Selon la pratique du Tribunal fédéral, la fourniture de telles sûretés ne peut pas être ordonnée pour des frais déjà engagés ( ATF 118 II 87 consid. 2; 79 II 295 consid. 3 p. 305). La requête ayant en l'occurrence été déposée en même temps que le mémoire de réponse au recours, elle est devenue sans objet, puisque les juges ont tranché par voie de circulation ( art. 36b OJ ), de sorte que la demanderesse n'a pas eu à supporter de frais supplémentaires.</w:t>
      </w:r>
    </w:p>
    <w:p>
      <w:r>
        <w:rPr>
          <w:b/>
        </w:rPr>
        <w:t>E. 3</w:t>
      </w:r>
    </w:p>
    <w:p>
      <w:r>
        <w:t>La défenderesse, se fondant sur l' art. 24 PCF , demande la jonction des procédures pendantes devant le Tribunal fédéral concernant ses trois employés. Sur la base de cette disposition, applicable à titre subsidiaire aux procédures de recours au Tribunal fédéral ( art. 40 OJ ), la jonction de recours dirigés contre plusieurs parties peut effectivement être ordonnée (Jean-François Poudret, COJ I, Berne 1990, art. 40 OJ no 2 p. 343). On ne voit cependant pas quel intérêt pourrait avoir la défenderesse à cette jonction, dès lors qu'elle a de toute façon déposé trois recours en réforme distincts à l'encontre de chacun des arrêts cantonaux. Au demeurant, si les prétentions formées par les trois employés ont le même fondement juridique, elles se rapportent à des salaires et à des circonstances différentes, de sorte qu'il n'apparaît pas adéquat de joindre ces trois causes au stade du recours en réforme.</w:t>
      </w:r>
    </w:p>
    <w:p>
      <w:r>
        <w:rPr>
          <w:b/>
        </w:rPr>
        <w:t>E. 4</w:t>
      </w:r>
    </w:p>
    <w:p>
      <w:r>
        <w:t>Invoquant une violation de l' art. 337 CO , la défenderesse reproche à la cour cantonale d'avoir refusé d'admettre l'existence de justes motifs de résiliation immédiate. Tout en soulignant que l'opinion des juges est en principe conforme à la jurisprudence, la défenderesse soutient qu'il aurait fallu tenir compte du fait que le contrat de travail en cause était de durée déterminée. 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répété malgré un avertissement ( ATF 127 III 153 consid. 1a et les références citées). Par manquement du travailleur, on entend la violation d'une obligation découlant du contrat de travail ( ATF 121 III 467 consid. 4d p. 472 et les arrêts cités). Le juge apprécie librement s'il existe de justes motifs ( art. 337 al. 3 CO ab initio).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116 II 145 consid. 6a p. 150;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123 III 246 consid. 6a; 122 III 262 consid. 2a/bb p. 267). b) Il ressort des faits constatés par la cour cantonale, d'une manière qui lie le Tribunal fédéral en instance de réforme ( art. 63 al. 2 OJ ), que c'est à la suite du refus de la demanderesse de se rendre à une réunion à laquelle elle avait été convoquée par la défenderesse deux jours plus tôt en compagnie de deux de ses collègues pour discuter de leurs possibilités éventuelles de placement que le contrat de travail a été résilié avec effet immédiat. La convocation ne comportait aucune menace de licenciement en cas d'absence et ne formulait pas le moindre grief à l'encontre de son destinataire. A cette époque, la défenderesse, qui avait cessé toutes ses activités, n'avait nul besoin de faire appel aux services de ses collaborateurs. Enfin, l'avocat des trois employés a tout de suite proposé le report de la réunion d'une dizaine de jours en raison de l'absence aux États-Unis de l'un d'entre eux. c) Dans ces circonstances, on ne voit pas que la cour cantonale ait abusé de son pouvoir d'appréciation en considérant qu'il n'y avait pas de motifs de résiliation immédiate de la part de l'employeur. Le refus de la demanderesse de se rendre à la convocation fixée par son employeur constitue certes un manquement à ses obligations contractuelles (cf. art. 321d CO ; Wilhelm Schönenberger/Adrian Staehelin, Commentaire zurichois, art. 321d CO no 23). Contrairement à ce que soutient la défenderesse, ce manquement, pris isolément, ne saurait toutefois être qualifié de grave, compte tenu en particulier du fait que la société, qui n'exerçait alors plus d'activité, n'avait pas besoin de ses collaborateurs, qu'elle n'a formulé aucun grief à leur encontre dans la convocation et que l'avocat de la demanderesse a tout de suite proposé une date de remplacement. Il n'aurait donc justifié une résiliation immédiate que s'il s'était répété malgré un avertissement (cf. ATF 127 III 153 consid. 1b p. 156 s.), ce qui n'a pas été retenu. d) Ce raisonnement ne saurait être modifié au motif que le contrat de travail en cause, conclu pour une durée déterminée de trois ans à partir du 1er juillet 1998, aurait encore duré plus de deux ans après le congé. Il est vrai que la longueur des rapports contractuels fait partie des éléments qui peuvent entrer en considération dans l'appréciation des justes motifs de résiliation immédiate (cf. ATF 116 II 145 consid. 6a p. 150) et il convient d'admettre que, si la durée résiduelle du contrat est courte, on peut se montrer plus exigeant quant à l'existence de tels motifs (cf. Manfred Rehbinder, Commentaire bernois, art. 337 CO no 2 p. 125; Ullin Streiff/Adrian von Kaenel, Leitfaden zum Arbeitsvertragsrecht, 5e éd. Zurich 1992, art. 337 CO no 16; Christiane Brunner/Jean-Michel Bühler/Jean-Bernard Waeber, Commentaire du contrat de travail, 2e éd. Lausanne 1996, art. 337 CO no 12). Le fait que l'employeur se soit lié durant une période relativement longue par un contrat de durée déterminée ne lui permet cependant pas de déroger au caractère exceptionnel de l' art. 337 CO en utilisant cette disposition pour se libérer de ses obligations, alors que, comme en l'espèce, le manquement n'a de toute façon pas la gravité suffisante pour justifier un licenciement immédiat. La cour cantonale a donc fait une application correcte de l' art. 337 CO .</w:t>
      </w:r>
    </w:p>
    <w:p>
      <w:r>
        <w:rPr>
          <w:b/>
        </w:rPr>
        <w:t>E. 5</w:t>
      </w:r>
    </w:p>
    <w:p>
      <w:r>
        <w:t>Quant aux montants alloués à la demanderesse à la suite de son congé immédiat injustifié, la défenderesse ne mentionne aucune disposition de droit fédéral qui aurait été violée par la cour cantonale, pas plus qu'elle ne critique l'arrêt cantonal à ce propos. La demanderesse n'a, pour sa part, pas déposé de recours joint à ce sujet. Cette question ne sera donc pas revue par la Cour de céans (cf. art. 55 al. 1 let . c OJ). En conséquence, le recours doit être rejeté et l'arrêt attaqué confirmé.</w:t>
      </w:r>
    </w:p>
    <w:p>
      <w:r>
        <w:rPr>
          <w:b/>
        </w:rPr>
        <w:t>E. 6</w:t>
      </w:r>
    </w:p>
    <w:p>
      <w:r>
        <w:t>Comme la valeur litigieuse, selon la prétention de la demanderesse à l'ouverture de l'action ( ATF 115 II 30 consid. 5b p. 41; 100 II 358 consid. a), dépasse 30'000 fr., la procédure n'est pas gratuite ( art. 343 al. 2 et 3 CO dans sa version du 15 décembre 2000 entrée en vigueur le 1er juin 2001; RO 2001 p. 1048 s.). Les frais et dépens seront mis à la charge de la défenderesse qui succombe (art. 156 al. 1 et 159 al. 1 OJ). Il n'y a pas lieu d'allouer des dépens à l'intervenante ( art. 159 al. 2 OJ ), qui au demeurant ne s'est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