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4C.94/2007 vom 12. September 2007</w:t>
      </w:r>
    </w:p>
    <w:p>
      <w:r>
        <w:t>Bundesgericht, 2007-09-12, FR</w:t>
      </w:r>
    </w:p>
    <w:p>
      <w:r>
        <w:rPr>
          <w:b/>
        </w:rPr>
        <w:t xml:space="preserve">Quelle: </w:t>
      </w:r>
      <w:r>
        <w:t>https://mcp.opencaselaw.ch/entscheid/bger_4C.94_2007</w:t>
      </w:r>
    </w:p>
    <w:p>
      <w:r>
        <w:t>FR: TF 4C.94/2007 du 12 septembre 2007</w:t>
      </w:r>
    </w:p>
    <w:p>
      <w:r>
        <w:t>IT: TF 4C.94/2007 del 12 settembre 2007</w:t>
      </w:r>
    </w:p>
    <w:p>
      <w:pPr>
        <w:pStyle w:val="Heading2"/>
      </w:pPr>
      <w:r>
        <w:t>Regeste</w:t>
      </w:r>
    </w:p>
    <w:p>
      <w:r>
        <w:t>contrat de travail; résiliation; salaire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32 et 54 al. 1 OJ )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En premier lieu, la défenderesse soutient que l'attitude du demandeur relève de l'abus de droit au sens de l' art. 2 CC . En substance, elle reproche à son ancien collaborateur de ne pas l'avoir informée, lors des négociations contractuelles de l'hiver 2002-2003, de sa décision déjà arrêtée de prendre sa retraite anticipée, lui cachant ainsi un élément essentiel que la bonne foi et la loyauté en affaire lui commandaient d'après elle de révéler.</w:t>
      </w:r>
    </w:p>
    <w:p>
      <w:r>
        <w:rPr>
          <w:b/>
        </w:rPr>
        <w:t>E. 3.1</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p. 497). L'adjectif « manifeste » indique qu'il convient de se montrer restrictif dans l'admission de l'abus de droit (arrêt 4C.385/2001 du 8 mai 2002, consid. 5b non publié aux ATF 128 III 284 , reproduit in Pra 2002 n. 134 p. 729; arrêt 4C.225/2001 du 16 novembre 2001, reproduit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115 IV 167 consid. 4b p. 172; 107 Ia 206 consid. 3b p. 211).</w:t>
      </w:r>
    </w:p>
    <w:p>
      <w:r>
        <w:rPr>
          <w:b/>
        </w:rPr>
        <w:t>E. 3.2</w:t>
      </w:r>
    </w:p>
    <w:p>
      <w:r>
        <w:t>Bien que ne citant pas l' art. 2 al. 2 CC , la cour cantonale a considéré que le demandeur s'était assuré que la défenderesse ne renoncerait en aucun cas à l'interdiction de faire concurrence et à sa contrepartie financière, certes en s'abstenant d'évoquer expressément le cas de figure d'une prise de retraite anticipée et en renonçant, après avoir consulté avocat, à proposer une formule évoquant la fin des rapports de service avant le 1er juin 2005, qui eût peut-être davantage éveillé l'attention de la défenderesse; toutefois, le demandeur n'avait pas à mentionner expressément un événement - une retraite anticipée - qui était prévu dans la réglementation interne de la défenderesse et que les parties avaient évoqué dans une autre clause du contrat; invitée à confirmer qu'elle ne renoncerait « en aucun cas » à la prohibition de concurrence et à l'indemnité, la défenderesse ne pouvait méconnaître le caractère très général et contraignant d'une telle formulation; cas échéant, il incombait aux personnes habilitées à engager la défenderesse de se renseigner sur la portée juridique des formules très générales utilisées. Ce raisonnement ne prête pas le flanc à la critique et ne peut qu'être approuvé. Le demandeur ne saurait en effet se voir reprocher d'avoir négocié son contrat au plus près de ses intérêts, ce d'autant plus qu'il avait pour cocontractant une société dont les organes sont supposés rompus aux affaires et qui avaient de surcroît également la possibilité de consulter avocat. En définitive, on ne décèle donc pas trace, sur la base des faits contenus dans le jugement attaqué, d'un abus de droit de la part du demandeur.</w:t>
      </w:r>
    </w:p>
    <w:p>
      <w:r>
        <w:rPr>
          <w:b/>
        </w:rPr>
        <w:t>E. 4</w:t>
      </w:r>
    </w:p>
    <w:p>
      <w:r>
        <w:t>La défenderesse s'en prend également à l'interprétation faite par la cour cantonale de la clause litigieuse.</w:t>
      </w:r>
    </w:p>
    <w:p>
      <w:r>
        <w:rPr>
          <w:b/>
        </w:rPr>
        <w:t>E. 4.1</w:t>
      </w:r>
    </w:p>
    <w:p>
      <w:r>
        <w:t>Face à un litige sur l'interprétation d'une clause contractuelle, le juge doit tout d'abord s'efforcer de déterminer la commune et réelle intention des parties (interprétation subjective; cf. ATF 131 III 606 consid. 4.1 p. 611).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Le principe de la confiance permet d'imputer à une partie le sens objectif de sa déclaration ou de son comportement, même si celui-ci ne correspond pas à la volonté intime de l'intéressée. 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 ATF 133 III 61 consid. 2.2.1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 et les arrêts cités).</w:t>
      </w:r>
    </w:p>
    <w:p>
      <w:r>
        <w:rPr>
          <w:b/>
        </w:rPr>
        <w:t>E. 4.2</w:t>
      </w:r>
    </w:p>
    <w:p>
      <w:r>
        <w:t>En l'espèce, la cour cantonale a constaté que la volonté réelle et commune des parties n'avait pas été établie, de sorte qu'il s'agissait d'interpréter la clause 6 du contrat de travail en application du principe de la confiance. Cela étant, elle a considéré en substance que, littéralement, l'expression « pour quelque raison que ce soit » visait tout motif de cessation des rapports de travail, soit notamment une prise de retraite anticipée; cette interprétation était confortée par le fait qu'à son alinéa 2, la clause litigieuse excluait de cumuler l'indemnité pour non-concurrence avec l'indemnité du chiffre 5, laquelle était notamment due en cas de mise à la retraite anticipée, ce qui démontrait que les parties avaient envisagé l'hypothèse d'une résiliation par ce motif; aucun élément ne conduisait à s'écarter de cette interprétation littérale, en particulier pas la comparaison avec la situation prévalant en cas de départ à la retraite ordinaire, qui s'en distinguait par plusieurs aspects, ni le financement, par la défenderesse, de la retraite du demandeur; la défenderesse devait donc se laisser opposer l'interprétation littérale de la clause 6, quand bien même l'octroi d'une indemnité pour non-concurrence en cas de prise de retraite anticipée irait à l'encontre de sa volonté intime. Quoi qu'en dise la défenderesse, dont l'argumentation ne résiste pas à l'examen, l'interprétation faite par la cour cantonale, à laquelle on peut pour le surplus renvoyer dans son intégralité, est pertinente et ne consacre aucune méconnaissance des principes applicables en matière d'interprétation des contrats. Par conséquent, le recours doit être rejeté.</w:t>
      </w:r>
    </w:p>
    <w:p>
      <w:r>
        <w:rPr>
          <w:b/>
        </w:rPr>
        <w:t>E. 5</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