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4C.92/2000 vom 29. Juni 2000</w:t>
      </w:r>
    </w:p>
    <w:p>
      <w:r>
        <w:t>Bundesgericht, 2000-06-29, IT</w:t>
      </w:r>
    </w:p>
    <w:p>
      <w:r>
        <w:rPr>
          <w:b/>
        </w:rPr>
        <w:t xml:space="preserve">Quelle: </w:t>
      </w:r>
      <w:r>
        <w:t>https://mcp.opencaselaw.ch/entscheid/bger_4C.92_2000</w:t>
      </w:r>
    </w:p>
    <w:p>
      <w:r>
        <w:t>FR: TF 4C.92/2000 du 29 juin 2000</w:t>
      </w:r>
    </w:p>
    <w:p>
      <w:r>
        <w:t>IT: TF 4C.92/2000 del 29 giugno 2000</w:t>
      </w:r>
    </w:p>
    <w:p>
      <w:pPr>
        <w:pStyle w:val="Heading2"/>
      </w:pPr>
      <w:r>
        <w:t>Regeste</w:t>
      </w:r>
    </w:p>
    <w:p>
      <w:r>
        <w:t>Diritto contratuale</w:t>
      </w:r>
    </w:p>
    <w:p>
      <w:pPr>
        <w:pStyle w:val="Heading2"/>
      </w:pPr>
      <w:r>
        <w:t>Erwägungen</w:t>
      </w:r>
    </w:p>
    <w:p>
      <w:r>
        <w:rPr>
          <w:b/>
        </w:rPr>
        <w:t>E. 1</w:t>
      </w:r>
    </w:p>
    <w:p>
      <w:r>
        <w:t>In data odierna il parallelo ricorso di diritto pubblico è stato dichiarato inammissibile. Nulla osta pertanto all'esame del presente gravame.</w:t>
      </w:r>
    </w:p>
    <w:p>
      <w:r>
        <w:rPr>
          <w:b/>
        </w:rPr>
        <w:t>E. 2</w:t>
      </w:r>
    </w:p>
    <w:p>
      <w:r>
        <w:t>Il ricorso per riforma è ricevibile per la violazione del diritto federale, se un principio derivante da una prescrizione federale non è applicato o lo è in modo errato ( art. 43 cpv. 1 e 2 OG ); il diritto federale non è di regola violato da accertamenti di fatto ( art. 43 cpv. 3 OG ). Il Tribunale federale fonda il suo giudizio sui fatti così come sono stati accertati dall'ultima istanza cantonale, a meno che siano state violate disposizioni federali in materia di prove, che debbano essere rettificati accertamenti di fatto derivanti da una svista manifesta o che si renda necessario un complemento degli stessi ( art. 63 e 64 OG ; DTF 123 III 110 consid. 2, 115 II 484 consid. 2a). Fatte salve queste eccezioni, censure contro gli accertamenti di fatto (art. 43 cpv. 3 e 55 cpv. 1 lett. c OG; DTF 120 II 280 consid. 6c) o contro la valutazione delle prove eseguiti dall'autorità cantonale ( DTF 122 III 26 consid. 4a/aa pag. 32) sono inammissibili. Ora, il ricorso si palesa irricevibile già per il solo fatto che, nelle proprie allegazioni, gli attori si limitano a criticare accertamenti di fatto e valutazioni probatorie dell'autorità cantonale, senza addurre argomentazioni decisive a sostegno di presunte violazioni del diritto federale.</w:t>
      </w:r>
    </w:p>
    <w:p>
      <w:r>
        <w:rPr>
          <w:b/>
        </w:rPr>
        <w:t>E. 3</w:t>
      </w:r>
    </w:p>
    <w:p>
      <w:r>
        <w:t>Contrariamente all'opinione degli attori, la Corte cantonale ha ritenuto che vi è stata, nella fattispecie, una violazione contrattuale da parte dell'appaltatore, confermando in questo le tesi esposte dal Pretore nel suo giudizio di prima istanza del 20 aprile 1999. Quest'ultimo ha infatti riconosciuto il fondamento delle domande di risarcimento danno avanzate dagli attori a seguito dell' inadempienza del contratto, anche se, in definitiva, l'unica posta di danno documentata e accettata è risultata quella relativa agli annunci di ricerca di un'appartamento. Le altre pretese, non sufficientemente comprovate, sono invece state respinte. Le istanze cantonali hanno dunque ammesso le rivendicazioni degli attori sulla base di norme federali, ed in particolare degli art. 107 e 108 CO (effetti della mora del debitore); non è però dato di sapere, né lo si deduce con la necessaria chiarezza dalle allegazioni ricorsuali, per quali ragioni e in quale misura queste constatazioni violerebbero il diritto federale. Si osserva d'altronde che gli attori non hanno impugnato la sentenza pretorile del 20 aprile 1999, accettando di conseguenza il calcolo del risarcimento danni ivi esposto. Trattandosi di constatazioni di fatto - ulteriormente accertate dal Tribunale d'appello - queste risultano vincolanti per il Tribunale federale e non possono più essere messe in discussione nell'ambito di un ricorso per riforma.</w:t>
      </w:r>
    </w:p>
    <w:p>
      <w:r>
        <w:rPr>
          <w:b/>
        </w:rPr>
        <w:t>E. 4</w:t>
      </w:r>
    </w:p>
    <w:p>
      <w:r>
        <w:t>Viste le considerazioni che precedono, il ricorso deve essere dichiarato inammissibile. Spese ed indennità processuali sono poste a carico della parte soccombente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