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4C.91/2001 vom 30. Mai 2001</w:t>
      </w:r>
    </w:p>
    <w:p>
      <w:r>
        <w:t>Bundesgericht, 2001-05-30, DE</w:t>
      </w:r>
    </w:p>
    <w:p>
      <w:r>
        <w:rPr>
          <w:b/>
        </w:rPr>
        <w:t xml:space="preserve">Quelle: </w:t>
      </w:r>
      <w:r>
        <w:t>https://mcp.opencaselaw.ch/entscheid/bger_4C.91_2001</w:t>
      </w:r>
    </w:p>
    <w:p>
      <w:r>
        <w:t>FR: TF 4C.91/2001 du 30 mai 2001</w:t>
      </w:r>
    </w:p>
    <w:p>
      <w:r>
        <w:t>IT: TF 4C.91/2001 del 30 maggio 2001</w:t>
      </w:r>
    </w:p>
    <w:p>
      <w:pPr>
        <w:pStyle w:val="Heading2"/>
      </w:pPr>
      <w:r>
        <w:t>Erwägungen</w:t>
      </w:r>
    </w:p>
    <w:p>
      <w:r>
        <w:rPr>
          <w:b/>
        </w:rPr>
        <w:t>E. 1</w:t>
      </w:r>
    </w:p>
    <w:p>
      <w:r>
        <w:t>Die Beklagte stellt in der Berufung weder Grundsatz noch Höhe der Forderung in Frage, welche die Klägerin für die von A.________ geleisteten Arbeitsstunden in Rechnung gestellt hatte und welche die kantonalen Gerichte zugesprochen haben. Da gemäss Art. 55 Abs. 1 lit. c OG in der Berufung zu begründen ist, inwiefern Bundesrecht verletzt sein soll, ist allein auf die in der Berufungsschrift vorgebrachten Rügen einzugehen. Die Beklagte hält insofern daran fest, dass die Klägerin nicht (mehr) existiere und rügt, die Vorinstanz habe die Parteifähigkeit der Klägerin aufgrund eines offensichtlichen Versehens bzw. in Verletzung von Art. 8 ZGB bejaht. Eventualiter rügt die Beklagte, die Vorinstanz habe die Vereinbarung vom 4. Juni 1997 bundesrechtswidrig ausgelegt, wenn sie daraus geschlossen habe, das Konkurrenzverbot sei damit bedingungslos aufgehoben worden. Soweit sich die Klägerin in ihrer Antwort nicht auf die erhobenen Rügen bezieht, gehen ihre Ausführungen an der Sache vorbei.</w:t>
      </w:r>
    </w:p>
    <w:p>
      <w:r>
        <w:rPr>
          <w:b/>
        </w:rPr>
        <w:t>E. 2</w:t>
      </w:r>
    </w:p>
    <w:p>
      <w:r>
        <w:t>a) Das Zivilgericht Basel-Stadt, auf dessen Erwägungen die Vorinstanz vollumfänglich verweist, hat die von der Beklagten bestrittene Parteifähigkeit der Klägerin aufgrund der Eintragungen in den hierfür vorgesehenen amtlichen Handels- oder Gesellschaftsregistern bejaht. Aus den von der Klägerin eingereichten Auszügen aus dem Register der Gesellschaften in Cardiff, England, vom 29. März 1999 ergibt sich nach den Feststellungen des Gerichts, dass ein gewisser D.________ am 30. April 1997 als Direktor der Klägerin zurücktrat. Am 15. Juli 1997 trat er ebenfalls als Sekretär zurück, wurde jedoch per 1. Januar 1998 wieder in dieser Stellung eingetragen. In Bezug auf A.________ besteht nur ein Eintrag: Mit Datum vom 15. Mai 1992 wird die Bestellung von A.________ zum Direktor der Gesellschaft festgehalten.</w:t>
      </w:r>
    </w:p>
    <w:p>
      <w:r>
        <w:t>Das Gericht hat insbesondere aus diesen sich aus den eingereichten Registerauszügen ergebenden Mutationen der Organe der Klägerin auf deren Existenz geschlossen. Die Beweistauglichkeit der eingereichten Unterlagen wurde dabei vom Gericht ausdrücklich bejaht. Weiter bemerkte das Gericht, dass die Beklagte sich problemlos neuere Auszüge des entsprechenden Gesellschaftsregisters hätte beschaffen können, um die Behauptung der Nichtexistenz der Klägerin zu erhärten.</w:t>
      </w:r>
    </w:p>
    <w:p>
      <w:r>
        <w:t>b) Die Beklagte macht ein offensichtlichen Versehen geltend in der Hinsicht, als sie der Vorinstanz vorwirft, diese habe nicht beachtet, dass die von der Klägerin eingereichten Unterlagen nur zusammen mit der "Company Microfiche" aussagekräftig seien. Ein offensichtliches Versehen im Sinne von Art. 63 Abs. 2 OG liegt nur vor, wenn eine bestimmte Aktenstelle übersehen oder unrichtig (d.h. nicht in ihrer wahren Gestalt, insbesondere nicht mit ihrem wirklichen Wortlaut) wahrgenommen worden ist ( BGE 109 II 159 E. 2b; 104 II 68 E. 3b). Die versehentlich nicht oder nicht richtig wahrgenommene Aktenstelle muss sodann für die Beurteilung der gerügten Bundesrechtsverletzung erheblich sein ( BGE 118 IV 88 E. 2b), was im Übrigen mit Aktenhinweis zu belegen ist (Art. 55 Abs. l lit. d OG). Die Beklagte verkennt, dass das Zivilgericht - und ihm folgend die Vorinstanz - in Würdigung der von der Klägerin eingereichten Unterlagen in ihrer Gesamtheit geschlossen hat, dass die Klägerin existiere. Wenn das Gericht aus den eingereichten Registerauszügen über die Mutation der klägerischen Organe auf die Existenz der Klägerin geschlossen hat, ohne zusätzlich die Vorlage auch der "Company Microfiche" zu verlangen, hat es in antizipierter Würdigung der Beweise geschlossen, es würde sich durch diese Microfiche am Beweisergebnis nichts ändern, zumal die Beklagte keine Unterlagen eingereicht habe, welche Zweifel am Bestehen der Klägerin hätten wecken können. An diese auf Beweiswürdigung beruhende Feststellung ist das Bundesgericht gebunden (Art. 63 Abs. 3, 43 Abs. 3 OG). Es bestehen keine Anhaltspunkte dafür, dass der von der Beklagten hervorgehobene Umstand vom Gericht nicht wahrgenommen worden wäre. Ein offensichtliches Versehen im Sinne von Art. 63 Abs. 2 OG und Art. 55 Abs. l lit. d OG liegt nicht vor.</w:t>
      </w:r>
    </w:p>
    <w:p>
      <w:r>
        <w:t>c) Art. 8 ZGB regelt für den ganzen Bereich des Bundesprivatrechts einerseits die Folgen der Beweislosigkeit und gibt anderseits der beweisbelasteten Partei einen Anspruch darauf, für rechtserhebliche Sachvorbringen zum Beweis zugelassen zu werden ( BGE 122 III 219 E. 3c; 118 II 365 E. 1; 114 II 289 E. 2a). Wo aber das Gericht in Würdigung der Beweise zur Überzeugung gelangt, eine Tatsachenbehauptung sei bewiesen oder widerlegt, ist die Beweislastverteilung gegenstandslos ( BGE 114 II 289 E. 2a) und Art. 8 ZGB ist nicht berührt. Da vorliegend die kantonalen Instanzen aufgrund der von der Klägerin eingereichten Unterlagen und den gesamten Umständen wie namentlich dem Verhalten der Beklagten im Prozess auf die Existenz der Klägerin geschlossen haben, sind sie nicht von Beweislosigkeit ausgegangen. Sie haben im Gegenteil die vorliegenden Beweise gewürdigt und daraus auf die - weitere - Existenz der Klägerin geschlossen.</w:t>
      </w:r>
    </w:p>
    <w:p>
      <w:r>
        <w:t>Art. 8 ZGB ist bei diesem positiven Beweisergebnis nicht verletzt.</w:t>
      </w:r>
    </w:p>
    <w:p>
      <w:r>
        <w:rPr>
          <w:b/>
        </w:rPr>
        <w:t>E. 3</w:t>
      </w:r>
    </w:p>
    <w:p>
      <w:r>
        <w:t>a) Die Auslegung von Willenserklärungen nach dem Vertrauensprinzip überprüft das Bundesgericht im Berufungsverfahren frei ( BGE 123 III 165 E. 3a). Dagegen ist das Bundesgericht an die Feststellung des - gemäss Art. 18 OR primär massgebenden - subjektiven Parteiwillens gebunden ( BGE 125 III 305 E. 2b; 118 II 365 E. 1). Nach dem Vertrauensprinzip massgebend ist mangels eines tatsächlich festgestellten subjektiven Parteiwillens, wie der Empfänger eine Erklärung in guten Treuen verstehen durfte und musste. Dabei ist stets der Gesamtzusammenhang im Auge zu behalten. Die Äusserungen einer Vertragspartei dürfen also nicht von ihrem Kontext losgelöst werden, sondern sind aus ihrem konkreten Sinngehalt heraus zu beurteilen ( BGE 125 III 305 E. 2b). Das Bundesgericht ist auch insofern an die Feststellungen der letzten kantonalen Instanz über die äusseren Umstände des Vertragsschlusses gebunden ( BGE 123 III 165 E. 3a). Soweit die Beklagte die Feststellungen der kantonalen Gerichte über die Umstände des Vertragsschlusses aus ihrer Sicht ergänzen will und namentlich auf ein Einvernahmeprotokoll mit dem Zeugen Heinz Schartel verweist, ist sie daher zum vornherein nicht zu hören ( BGE 119 II 84 E. 3).</w:t>
      </w:r>
    </w:p>
    <w:p>
      <w:r>
        <w:t>b) Die Vorinstanzen haben die von der Beklagten widerklageweise geforderte Konventionalstrafe aus dem Rahmenvertrag vom 6. Dezember 1996 mit der Begründung abgewiesen, die Kundenschutzklausel nach Ziffer 9 des Rahmenvertrags sei durch die Vereinbarung vom 4. Juni 1997 aufgehoben worden.</w:t>
      </w:r>
    </w:p>
    <w:p>
      <w:r>
        <w:t>Sie haben insbesondere aus dem Wortlaut der Vereinbarung abgeleitet, dass sich die Parteien zwecks Beilegung der zwischen ihnen entstandenen Kontroversen darauf geeinigt haben, die Verträge sowohl zwischen der Beklagten und der B.________ als auch zwischen den Parteien selbst per 19.</w:t>
      </w:r>
    </w:p>
    <w:p>
      <w:r>
        <w:t>Juli 1997 aufzulösen. Mit dieser Auslegung haben die Vorinstanzen entgegen der Ansicht der Beklagten keine reine Buchstabenauslegung betrieben. Denn sie haben die - auch von der Beklagten nicht bestrittene - einvernehmliche Vertragsauflösung auf dieses Datum hin mit dem Festhalten am Konkurrenzverbot als unvereinbar erachtet und dabei namentlich berücksichtigt, dass die Beklagte ihr Einverständnis mit einer Weiterbeschäftigung von A.________ durch die Kundin B.________ über eine andere Vermittlungsfirma gerade nicht von der Bezahlung der Konventionalstrafe abhängig machte.</w:t>
      </w:r>
    </w:p>
    <w:p>
      <w:r>
        <w:t>Dass die Parteien bis zur einvernehmlichen Vertragsaufhebung noch eineinhalb Monate Zeit hatten, um die offen gelassene Frage einer allfälligen Abgeltung der Kundenschutzklausel zu diskutieren und zu regeln, konnten die Vorinstanzen ohne Bundesrechtsverletzung unberücksichtigt lassen. Den Feststellungen des angefochtenen Urteils ist nicht zu entnehmen, dass während dieser Zeit Verhandlungen stattgefunden hätten, aus denen sich etwas für den Standpunkt der Beklagten ergeben könnte. Die Beklagte behauptet auch selbst nicht, für den Fall des Scheiterns der in Ziffer 5 der Vereinbarung vom 4. Juni 1997 vorgesehenen Verhandlungen sei eine Regelung getroffen worden.</w:t>
      </w:r>
    </w:p>
    <w:p>
      <w:r>
        <w:rPr>
          <w:b/>
        </w:rPr>
        <w:t>E. 4</w:t>
      </w:r>
    </w:p>
    <w:p>
      <w:r>
        <w:t>Die Berufung ist abzuweisen und das angefochtene Urteil zu bestätigen. Dem Verfahrensausgang entsprechend hat die Beklagte die Gerichtsgebühr zu tragen und der Klägerin überdies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