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4C.89/2003 vom 25. August 2003</w:t>
      </w:r>
    </w:p>
    <w:p>
      <w:r>
        <w:t>Bundesgericht, 2003-08-25, FR</w:t>
      </w:r>
    </w:p>
    <w:p>
      <w:r>
        <w:rPr>
          <w:b/>
        </w:rPr>
        <w:t xml:space="preserve">Quelle: </w:t>
      </w:r>
      <w:r>
        <w:t>https://mcp.opencaselaw.ch/entscheid/bger_4C.89_2003</w:t>
      </w:r>
    </w:p>
    <w:p>
      <w:r>
        <w:t>FR: TF 4C.89/2003 du 25 août 2003</w:t>
      </w:r>
    </w:p>
    <w:p>
      <w:r>
        <w:t>IT: TF 4C.89/2003 del 25 agosto 2003</w:t>
      </w:r>
    </w:p>
    <w:p>
      <w:pPr>
        <w:pStyle w:val="Heading2"/>
      </w:pPr>
      <w:r>
        <w:t>Erwägungen</w:t>
      </w:r>
    </w:p>
    <w:p>
      <w:r>
        <w:rPr>
          <w:b/>
        </w:rPr>
        <w:t>E. 1.1</w:t>
      </w:r>
    </w:p>
    <w:p>
      <w:r>
        <w:t>Interjeté par la partie qui a succombé dans ses conclusions libératoires et dirigé contre un jugement final rendu en dernière instance cantonale par un tribunal supérieur ( art. 48 al. 1 OJ ) sur une contestation civile dont la valeur litigieuse - déterminée in casu par le montant de la créance à garantir dès l'instant où celui-ci ne dépasse pas la valeur du gage (cf. ATF 106 II 22 consid. 1) - atteint le seuil de 8 000 fr. ( art. 46 OJ ), le recours en réforme est en principe recevable, puisqu'il a été déposé en temps utile ( art. 54 al. 1 OJ ) dans les formes requises ( art. 55 OJ ).</w:t>
      </w:r>
    </w:p>
    <w:p>
      <w:r>
        <w:rPr>
          <w:b/>
        </w:rPr>
        <w:t>E. 1.2</w:t>
      </w:r>
    </w:p>
    <w:p>
      <w:r>
        <w:t>Saisi d'un recours en réforme, le Tribunal fédéral doit conduire son raisonnement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ibidem).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n'est pas ouvert pour se plaindre de l'appréciation des preuves et des constatations de fait qui en découlent ( ATF 127 III 543 consid. 2c; 126 III 189 consid. 2a; 125 III 78 consid. 3a).</w:t>
      </w:r>
    </w:p>
    <w:p>
      <w:r>
        <w:t>Le Tribunal fédéral ne saurait aller au-delà des conclusions des parties (qui ne peuvent en prendre de nouvelles: art. 55 al. 1 let. b OJ ), mais il n'est pas lié par les motifs qu'elles invoquent ( art. 63 al. 1 OJ ), ni par l'argumentation juridique retenue par la cour cantonale ( art. 63 al. 3 OJ ; ATF 128 III 22 consid. 2e/cc in fine;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2</w:t>
      </w:r>
    </w:p>
    <w:p>
      <w:r>
        <w:t>Après avoir admis sa compétence à raison du lieu tant en ce qui concerne la demande en paiement que pour la prétention en inscription définitive d'une hypothèque légale, l'autorité cantonale a retenu en substance que le défendeur et E.________ avaient conclu le 22 octobre 1994 un contrat d'architecte global. Ce dernier était ainsi investi du pouvoir de conclure les contrats d'entreprise au nom du maître de l'ouvrage, de sorte que le défendeur est lié contractuellement au demandeur en vertu de l' art. 32 CO . La Cour civile a considéré que les parties n'étaient pas convenues d'un prix ferme, le contrat du 25 février 1995, établi pour les besoins de la procédure d'autorisation de vente aux étrangers, "refléta(nt) tout au plus leur volonté de collaborer à la construction du chalet". C'est donc d'après la valeur des travaux effectués ( art. 374 CO ) que la rémunération de l'entrepreneur devait être arrêtée. A propos des conditions de paiement, la cour cantonale a posé que le contrat du 25 février 1995 n'était pas représentatif de la volonté des plaideurs. Si l'expert avait préconisé l'exécution de petites retouches de peinture et de finitions de vernis, le défendeur ne saurait faire usage des droits conférés par l' art. 368 al. 2 CO , faute d'en avoir respecté les incombances. Suivant l'avis de l'expert judiciaire, les magistrats valaisans ont fixé la créance du demandeur à la somme de 11 820 fr.50 (12 003 fr.20 - 182 fr.70 [moins-value pour la peinture de la dalle d'un balcon]), dont à déduire l'acompte versé, par 3 000 fr. L'autorité cantonale a encore posé que le demandeur, dont E.________ n'était pas l'auxiliaire, n'avait pas à répondre du dommage éventuellement causé au défendeur par le prénommé. Enfin, l'autorité cantonale a admis que les conditions prescrites par les art. 837 al. 1 ch. 3 et 839 CC pour l'inscription définitive d'une hypothèque légale des artisans et entrepreneurs étaient réalisées.</w:t>
      </w:r>
    </w:p>
    <w:p>
      <w:r>
        <w:rPr>
          <w:b/>
        </w:rPr>
        <w:t>E. 3.1</w:t>
      </w:r>
    </w:p>
    <w:p>
      <w:r>
        <w:t>Dans un premier moyen, le recourant fait valoir qu'en appliquant l'art. 113 de la loi fédérale du 18 décembre 1987 sur le droit international privé (RS 291; LDIP) en lieu et place de l'art. 5 ch. 1 de la Convention de Lugano du 16 septembre 1988 concernant la compétence judiciaire et l'exécution des décisions en matière civile et commerciale (RS 0.275.11; ci-après: Convention de Lugano ou CL), la cour cantonale a violé le droit fédéral. Comme le défendeur conteste l'existence même d'un contrat d'entreprise noué avec le demandeur, poursuit-il, "le for du lieu de l'exécution prévu à l' art. 5 ch. 1 CL est à disposition... (et) l' art. 113 LDIP s'efface devant l'article 5 ch. 1 (CL)". Mais, puisque le recourant n'est pas domicilié sur le territoire d'un Etat contractant, il conviendrait de rattacher le paiement de la dette du maître à l'égard de l'entrepreneur total avec le droit du pays où se situent les avoirs bancaires du débiteur, soit en l'occurrence le droit américain. En tout état de cause, le défendeur pourrait exciper non moins que des fors du domicile de l' art. 30 al. 2 Cst. , des fors de la LP ( art. 46 et 50 LP ) et de celui de l'art. 19 de la loi fédérale du 24 mars 2000 sur les fors en matière civile (LFors). Ce serait ainsi en violation du droit fédéral que le lieu d'exécution aurait été localisé en Suisse, au domicile du créancier prétendu, si bien que la compétence locale et la compétence matérielle de la Cour civile n'existeraient pas au regard des règles du droit international privé.</w:t>
      </w:r>
    </w:p>
    <w:p>
      <w:r>
        <w:t>Le même raisonnement s'appliquerait à la conclusion tendant à l'inscription définitive d'une hypothèque légale, vu sa nature juridique. A en croire le défendeur, le droit à l'inscription de ce gage serait une créance, mais nullement un droit réel ou même une prétention de nature réelle, quand bien même la créance serait rattachée propter rem à l'immeuble qui peut être grevé.</w:t>
      </w:r>
    </w:p>
    <w:p>
      <w:r>
        <w:rPr>
          <w:b/>
        </w:rPr>
        <w:t>E. 3.2</w:t>
      </w:r>
    </w:p>
    <w:p>
      <w:r>
        <w:t>Il est indubitable que le présent litige contient un élément d'extranéité dès lors qu'il a trait à l'existence d'un contrat conclu entre un entrepreneur domicilié en Suisse et un ressortissant britannique domicilié aux Etats-Unis d'Amérique.</w:t>
      </w:r>
    </w:p>
    <w:p>
      <w:r>
        <w:t>Il convient en premier lieu de se demander si la Convention de Lugano est applicable à l'espèce. Les règles de compétence de cette convention l'emportent en effet sur les règles de compétence nationale, et singulièrement sur celles de la LDIP ( art. 1 al. 2 LDIP ; ATF 124 III 134 consid. 2b aa; arrêt 4C.189/2001 du 1er février 2002, consid. 3).</w:t>
      </w:r>
    </w:p>
    <w:p>
      <w:r>
        <w:t>Il est constant que les parties, dont l'une (soit le demandeur) est domiciliée sur le territoire d'un Etat contractant, n'ont désigné aucun tribunal se trouvant sur le territoire d'un Etat signataire pour connaître des différends de nature contractuelle pouvant les opposer, comme le leur permettait l' art. 17 CL (cf. à propos d'une telle élection de for: ATF 125 III 108 consid. 3e; Andreas Bucher/Andrea Bonomi, Droit international privé, Bâle 2001, n. 99 p. 26).</w:t>
      </w:r>
    </w:p>
    <w:p>
      <w:r>
        <w:t>Le champ d'application territorial de la Convention de Lugano n'est pas réglé par une disposition spécifique du traité international. Il n'en demeure pas moins que la localisation sur le territoire d'un Etat contractant du domicile ou du siège du défendeur est la clé de voûte du système instauré par la CL (Yves Donzallaz, La Convention de Lugano, vol. I, n. 1100 p. 419). Ainsi, lorsque, comme c'est le cas en espèce, seule la partie demanderesse est domiciliée sur le territoire d'un Etat signataire, ledit traité international ne saurait s'appliquer, car l' art. 2 CL , qui en est la règle de compétence générale, ne tient pas le domicile du demandeur comme un critère de rattachement pertinent (Donzallaz, op. cit., vol. I, n. 1103 p. 420).</w:t>
      </w:r>
    </w:p>
    <w:p>
      <w:r>
        <w:t>Quoi qu'en pense le recourant, il n'y a donc pas de règles de compétence à prendre en considération sur la base de la Convention de Lugano.</w:t>
      </w:r>
    </w:p>
    <w:p>
      <w:r>
        <w:rPr>
          <w:b/>
        </w:rPr>
        <w:t>E. 3.3</w:t>
      </w:r>
    </w:p>
    <w:p>
      <w:r>
        <w:t>Le recourant ne saurait invoquer l' art. 19 LFors . Cette loi, qui régit la compétence à raison du lieu en matière civile, n'est pas applicable lorsque le litige est de nature internationale ( art. 1 al. 1 LFors a contrario). Or, comme on l'a vu ci-dessus, la querelle a manifestement un tel caractère.</w:t>
      </w:r>
    </w:p>
    <w:p>
      <w:r>
        <w:t>Quant aux fors de la poursuite prévus par les art. 46 et 50 LP , ils régissent les procédures d'exécution forcée tendant à obtenir le paiement d'une somme d'argent ou la fourniture de sûretés (cf. SchKG-Ernst F. Schmid, n. 1 et 4 ad art. 46 LP et n. 1 ad art. 50 LP ), mais nullement les procès civils qui, à l'instar de celui qui oppose les parties, ont pour but de faire reconnaître et imposer le respect d'un droit subjectif privé par une autorité étatique.</w:t>
      </w:r>
    </w:p>
    <w:p>
      <w:r>
        <w:t>La garantie du for du domicile ancrée à l'art. 30 al. 2, 1e phrase, Cst. ne déploie d'effet qu'autant que la loi ne prévoie pas un autre for (art. 30 al. 2, 2e phrase, Cst.), c'est-à-dire un for spécial, l'expression "loi" recouvrant notamment les lois fédérales ( art. 164 al. 1 Cst. ; Reinhold Hotz, Die Schweizerische Bundesverfassung, St-Galler Kommentar 2002, n. 18 ad art. 30 Cst. ). Or, pour les litiges à caractère international, les règles de compétence locale sont déterminées par la LDIP ( art. 1 al. 1 let. a LDIP ).</w:t>
      </w:r>
    </w:p>
    <w:p>
      <w:r>
        <w:rPr>
          <w:b/>
        </w:rPr>
        <w:t>E. 3.4</w:t>
      </w:r>
    </w:p>
    <w:p>
      <w:r>
        <w:t>C'est le lieu d'analyser le rapport juridique qui est à l'origine de la créance litigieuse du demandeur.</w:t>
      </w:r>
    </w:p>
    <w:p>
      <w:r>
        <w:t>La qualification doit être opérée selon la loi du for ( ATF 128 III 295 consid. 2a p. 298 et les arrêts cités).</w:t>
      </w:r>
    </w:p>
    <w:p>
      <w:r>
        <w:t>Il ressort des constatations cantonales que le demandeur a exécuté, moyennant rémunération, des travaux de peinture dans le cadre de la construction du chalet Z.________, propriété du défendeur. Selon la loi du for, le seul rapport de droit qui peut entrer en considération est le contrat d'entreprise (cf. art. 363 ss CO ).</w:t>
      </w:r>
    </w:p>
    <w:p>
      <w:r>
        <w:t>Il ne résulte pas de l'état de fait déterminant qu'une élection de droit ait été convenue ( art. 116 LDIP ).</w:t>
      </w:r>
    </w:p>
    <w:p>
      <w:r>
        <w:t>Lorsque le défendeur, à l'exemple de P.________, n'a ni son domicile ni sa résidence habituelle en Suisse, le lieu d'exécution du contrat constitue, à teneur de l' art. 113 LDIP , le facteur de rattachement en cas de conflits de juridiction. Le for du lieu d'exécution instauré par cette norme est à disposition même s'il y a litige sur la validité du contrat en cause ( ATF 126 III 334 consid. 3b in fine).</w:t>
      </w:r>
    </w:p>
    <w:p>
      <w:r>
        <w:t>Dans le cas présent, les parties ne sont pas convenues d'un lieu d'exécution déterminé du contrat d'entreprise. Le recourant prétend qu'il se situe aux Etats-Unis, pays où sont déposés les avoirs qu'il pourrait être amené à mettre à contribution, alors que l'intimé affirme qu'il se trouve à O.________, où est sis le chalet Z.________. Lorsque la détermination du lieu où le contrat doit être exécuté est litigieuse, il y a une controverse doctrinale à propos du droit selon lequel ce lieu doit être déterminé. Pour certains auteurs (cf. Marc Amstutz/Nedim Peter Vogt/Markus Wang, Commentaire bâlois, n. 13 ad art. 113 LDIP ; François Knoepfler/Philippe Schweizer, Droit international privé suisse, 2e éd., ch. 604 p. 266), il convient de se fonder sur le droit rendu applicable au contrat par le droit international privé suisse (lex causae). Pour d'autres auteurs (cf. Max Keller/Jolanta Kren Kostkiewicz, IPRG-Kommentar, n. 14 s. ad art. 113 LDIP ; Paolo Michele Pattochi, I contratti internazionali, p. 200-202 in: Il nuovo diritto internazionale privato in Svizzera, Milano 1990), la détermination du lieu d'exécution doit se faire selon la loi du for (lex fori), par application de l' art. 74 CO .</w:t>
      </w:r>
    </w:p>
    <w:p>
      <w:r>
        <w:t>Il n'est nul besoin de trancher cette controverse, car, que l'on choisisse l'une ou l'autre solution, le droit suisse est applicable.</w:t>
      </w:r>
    </w:p>
    <w:p>
      <w:r>
        <w:rPr>
          <w:b/>
        </w:rPr>
        <w:t>E. 3.4.1</w:t>
      </w:r>
    </w:p>
    <w:p>
      <w:r>
        <w:t>Selon l' art. 117 al. 1 LDIP , le contrat est régi par le droit de l'Etat avec lequel il présente les liens les plus étroits. Ces liens sont réputés exister avec l'Etat dans lequel la partie qui doit fournir la prestation caractéristique a sa résidence habituelle ou, si le contrat est conclu dans l'exercice d'une activité professionnelle ou commerciale, son établissement ( art. 117 al. 2 LDIP ). En matière de contrat d'entreprise, la prestation caractéristique déterminante est celle de l'entrepreneur qui exécute l'ouvrage ( art. 117 al. 2 let . c LDIP; Gaudenz G. Zindel/Urs Pulver, Commentaire bâlois, 3e éd., n. 32 ad Vorbemerkungen zu Art. 363-379 CO ). En conséquence, le contrat d'entreprise, s'il n'y a pas d'élection de droit, est régi en droit international privé suisse - s'agissant de l'exercice d'une activité professionnelle ou commerciale - par le droit de l'Etat dans lequel l'entrepreneur a son établissement, lequel se trouve dans l'Etat où il a le centre de ses activités professionnelles ou commerciales ( art. 20 al. 1 let . c LDIP). Le demandeur exploite sa raison individuelle à O.________, en Valais, si bien que l'existence et les effets du contrat d'entreprise relèvent du droit suisse, qui est le droit applicable à la détermination du lieu d'exécution. Or, ainsi qu'on le verra ci-dessous, l'exécution de l'obligation pécuniaire litigieuse, en vertu du Code des obligations de la Suisse, est fixée en Valais, de sorte que les tribunaux de ce canton sont compétents ratione loci pour connaître de l'action en paiement du demandeur ( art. 113 LDIP ).</w:t>
      </w:r>
    </w:p>
    <w:p>
      <w:r>
        <w:rPr>
          <w:b/>
        </w:rPr>
        <w:t>E. 3.4.2</w:t>
      </w:r>
    </w:p>
    <w:p>
      <w:r>
        <w:t>D'après l' art. 74 al. 2 ch. 1 CO - applicable en tant que lex fori -, si les parties n'ont pas prévu le lieu où l'obligation doit être exécutée, lorsqu'il s'agit d'une somme d'argent, le paiement s'opère dans le lieu où le créancier est domicilié à l'époque du paiement. Dans la présente affaire, l'intimé, qui se prévaut d'une créance en paiement contre le recourant, est domicilié à O.________ (Valais), qui est donc le lieu d'exécution de l'obligation. Ce facteur de rattachement donne compétence aux tribunaux valaisans pour juger de l'action en paiement de l'intimé.</w:t>
      </w:r>
    </w:p>
    <w:p>
      <w:r>
        <w:rPr>
          <w:b/>
        </w:rPr>
        <w:t>E. 3.5</w:t>
      </w:r>
    </w:p>
    <w:p>
      <w:r>
        <w:t>L' art. 97 LDIP prescrit que les tribunaux du lieu de situation des immeubles en Suisse sont exclusivement compétents pour connaître des actions réelles immobilières. La qualification de droit réel doit s'opérer selon la lex fori, soit le droit suisse (Pius Fisch, Commentaire bâlois, n. 2 ad art. 97 LDIP ). Le statut des droits réels de droit international privé suisse englobe notamment l'acquisition et la perte des droits réels, le contenu du droit de propriété et celui des droits réels restreints (Bernard Dutoit, Commentaire de la loi fédérale du 18 décembre 1987, 3e éd., n. 1 ad art. 97 LDIP ). Or, l'hypothèque légale des artisans et entrepreneurs des art. 837 ss CC constitue un droit de gage immobilier, à savoir un droit réel limité qui assujettit un immeuble à la garantie d'une créance (cf. Paul-Henri Steinauer, Les droits réels, tome III, 2e éd, n. 2618 p. 95 et n. 2833 p. 199).</w:t>
      </w:r>
    </w:p>
    <w:p>
      <w:r>
        <w:t>Le chalet dit Z.________ sur lequel le demandeur a requis l'inscription provisoire d'une hypothèque légale étant sis à O.________, en Valais, les tribunaux valaisans sont bel et bien compétents pour connaître du droit à l'inscription définitive de ce droit de gage.</w:t>
      </w:r>
    </w:p>
    <w:p>
      <w:r>
        <w:rPr>
          <w:b/>
        </w:rPr>
        <w:t>E. 3.6</w:t>
      </w:r>
    </w:p>
    <w:p>
      <w:r>
        <w:t>Les critiques portées par le recourant à l'encontre de la compétence matérielle de la Cour civile sont irrecevables. De fait, hormis des exceptions qui n'entrent pas en considération, la compétence matérielle ressortit au droit cantonal (Fabienne Hohl, Procédure civile, tome II, n. 1517 p. 33 et n. 1805-1807 p. 76), dont la censure échappe à la juridiction fédérale de réforme.</w:t>
      </w:r>
    </w:p>
    <w:p>
      <w:r>
        <w:rPr>
          <w:b/>
        </w:rPr>
        <w:t>E. 4.1</w:t>
      </w:r>
    </w:p>
    <w:p>
      <w:r>
        <w:t>A l'appui de son deuxième moyen, le recourant prétend que la cour cantonale a erré en qualifiant de contrat d'architecte global la convention passée le 22 octobre 1994 entre E.________ et le défendeur. Ce dernier allègue qu'il a chargé E.________ d'établir les projets et les plans du chalet, puis de réaliser l'entier de l'ouvrage et de garantir le résultat promis. Le recourant fait valoir qu'étant domicilié à l'étranger, il n'entendait pas donner carte blanche à E.________ pour signer des contrats en son nom, mais qu'il souhaitait prendre possession d'un chalet livré clé en mains à la date et au prix convenus. Quant à la surveillance du chantier confiée à l'intéressé, les parties contractantes seraient convenues qu'elle devait porter exclusivement sur des ouvrages de construction prédéfinis, en sorte que la mission en cause ferait ressortir une obligation de livrer un résultat. A suivre le défendeur, le contrat précité constituerait un contrat d'entreprise totale, si bien que seul E.________ serait débiteur de l'intimé avec lequel il aurait conclu un contrat de sous-traitance.</w:t>
      </w:r>
    </w:p>
    <w:p>
      <w:r>
        <w:rPr>
          <w:b/>
        </w:rPr>
        <w:t>E. 4.2</w:t>
      </w:r>
    </w:p>
    <w:p>
      <w:r>
        <w:t>Il n'est pas contesté que le demandeur n'est pas partie à la convention du 22 octobre 1994, laquelle a été conclue entre le défendeur et E.________. La qualification de cet accord est toutefois décisive pour juger de la prétention de l'intimé contre le défendeur.</w:t>
      </w:r>
    </w:p>
    <w:p>
      <w:r>
        <w:t>En effet, si la thèse du recourant devait être suivie et que la convention précitée devait être reconnue comme un contrat d'entreprise totale, le demandeur, en tant que sous-traitant de l'entrepreneur total E.________, n'aurait aucune relation contractuelle avec le maître de l'ouvrage, puisque, dans un tel cas de figure, celui-ci n'est lié qu'avec l'entrepreneur total par un contrat d'entreprise qui porte sur la réalisation de toute la construction (cf. à ce propos Peter Gauch, Le contrat d'entreprise, adaptation française par Benoît Carron, n. 223 p. 73 s. et les références doctrinales). Autrement dit, la qualité pour agir du demandeur devrait être niée et l'action qu'il a intentée contre le défendeur devrait être rejetée.</w:t>
      </w:r>
    </w:p>
    <w:p>
      <w:r>
        <w:t>En revanche, si l'accord du 22 octobre 1994 constituait bien un contrat d'architecte global, ainsi que l'a retenu l'autorité cantonale, l'architecte E.________ pourrait avoir engagé le recourant et maître de l'ouvrage en adjugeant à l'intimé, au nom du maître, des travaux de peinture, à supposer évidemment que E.________ ait été habilité à conclure des contrats d'entreprise pour le défendeur.</w:t>
      </w:r>
    </w:p>
    <w:p>
      <w:r>
        <w:t>C'est pourquoi il convient préliminairement de bien délimiter ces deux figures contractuelles en rappelant brièvement leur nature et leurs spécificités propres.</w:t>
      </w:r>
    </w:p>
    <w:p>
      <w:r>
        <w:rPr>
          <w:b/>
        </w:rPr>
        <w:t>E. 4.3.1</w:t>
      </w:r>
    </w:p>
    <w:p>
      <w:r>
        <w:t>Selon la jurisprudence,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 ATF 114 II 53 consid. 2a et les références; Pierre Tercier, les contrats spéciaux, 3e éd., n. 3901 p. 570; Gauch, op. cit., n. 223 p. 73).</w:t>
      </w:r>
    </w:p>
    <w:p>
      <w:r>
        <w:t>Quant à l'entrepreneur total, il est chargé, en plus de tâches de l'entrepreneur général, de l'établissement des études de projets et des plans ( ATF 114 II 53 ibidem). On a déjà vu que le contrat passé entre l'entrepreneur total et le maître de l'ouvrage se qualifie comme un contrat d'entreprise au sens de l' art. 363 CO ( ATF 117 II 273 consid. 3a; 114 II 53 consid. 2b), et cela même si le premier délègue l'ensemble des travaux à des entreprises sous-traitantes ( ATF 97 II 66 consid. 1 in fine). Dans le contrat d'entreprise totale, les différentes prestations de l'entrepreneur concourent en effet à la réalisation d'une prestation unique, à savoir une construction rattachée au sol (Bauwerk) (Alfred Koller, Commentaire bernois, n. 199 ad art. 363 CO ).</w:t>
      </w:r>
    </w:p>
    <w:p>
      <w:r>
        <w:rPr>
          <w:b/>
        </w:rPr>
        <w:t>E. 4.3.2</w:t>
      </w:r>
    </w:p>
    <w:p>
      <w:r>
        <w:t>Le contrat d'architecte global est celui par lequel un architecte se charge au moins de l'établissement des plans (esquisses et projets de construction, plans d'exécution et de détail) et de la direction des travaux, avec ou sans l'adjudication de travaux ( ATF 127 III 543 consid. 2a; Gauch, op. cit., n. 57 p. 18). S'agissant des conditions personnelles du contrat, il sied de préciser qu'il n'est nul besoin de disposer de qualifications particulières - et notamment d'un diplôme - pour s'engager valablement à exécuter des prestations d'architecte (Pierre Tercier, La formation du contrat et les clauses d'architecte, in: Le droit de l'architecte, 3e éd., Fribourg 1995, n. 129 p. 46).</w:t>
      </w:r>
    </w:p>
    <w:p>
      <w:r>
        <w:t>Il est de jurisprudence que le contrat d'architecte complet constitue un contrat mixte, qui relève, suivant les prestations, du mandat ou du contrat d'entreprise ( ATF 127 III 543 consid. 2a; 114 II 53 consid. 2b; 110 II 380 consid. 2).</w:t>
      </w:r>
    </w:p>
    <w:p>
      <w:r>
        <w:rPr>
          <w:b/>
        </w:rPr>
        <w:t>E. 4.4</w:t>
      </w:r>
    </w:p>
    <w:p>
      <w:r>
        <w:t>Face à un litige sur l'interprétation de clauses contractuelles, le juge doit tout d'abord s'efforcer de déterminer la commune et réelle intention des parties, en procédant à l'interprétation dite subjective, dont le résultat relève des constatations de fait qui lient le Tribunal fédéral.</w:t>
      </w:r>
    </w:p>
    <w:p>
      <w:r>
        <w:t>Si la volonté réelle des parties ne peut pas être établie ou si elle est divergente, le juge doit recourir à l'interprétation objective, fondée sur la théorie de la confiance. L'application du principe de la confiance est une question de droit que le Tribunal fédéral peut examiner librement dans le cadre du recours en réforme. Toutefois, pour trancher cette question, il faut s'appuyer sur le contenu des manifestations de volonté et sur les circonstances, lesquelles relèvent du fait ( ATF 129 III 118 consid. 2.5; 128 III 419 consid. 2.2; 127 III 444 consid. 1b). Il doit être rappelé que le principe de la confiance permet d'imputer à une partie le sens objectif de sa déclaration ou de son comportement, même si celui-ci ne correspond pas à sa volonté intime ( ATF 129 III 118 consid. 2.5; 128 III 419 consid. 2.2 et les références doctrinales).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 ATF 129 III 118 consid. 2.5; 127 III 444 consid. 1b).</w:t>
      </w:r>
    </w:p>
    <w:p>
      <w:r>
        <w:rPr>
          <w:b/>
        </w:rPr>
        <w:t>E. 4.5</w:t>
      </w:r>
    </w:p>
    <w:p>
      <w:r>
        <w:t>La cour cantonale n'ayant pas établi la volonté réelle des cocontractants à la convention du 22 octobre 1994, l'interprétation qu'elle a donnée de l'accord en vertu de la théorie de la confiance peut être revue en instance de réforme.</w:t>
      </w:r>
    </w:p>
    <w:p>
      <w:r>
        <w:t>Il a été retenu que E.________ a dressé les plans du chalet. On ne peut rien tirer de cet élément, dès l'instant où il entre tant dans les tâches dévolues à l'entrepreneur global que dans celles de l'architecte global.</w:t>
      </w:r>
    </w:p>
    <w:p>
      <w:r>
        <w:t>La cour cantonale a considéré que la rémunération de E.________, arrêtée au 13,8 % "des factures et des travaux fait (sic) par lui", était qualifiée dans l'accord d'honoraires, terme qui s'utilise en général dans un contrat d'architecte. On ne saurait la suivre dans cette voie. La notion d'honoraires donne en réalité à penser qu'il est question de la rémunération d'une personne de condition libérale, peu importe le type de contrat en vertu duquel celle-ci a agi. Autrement dit, on parle également d'honoraires si les prestations de l'architecte ont été effectuées dans le cadre d'un contrat d'entreprise (cf. Anton Egli, Das Architektenhonorar, in: Le droit de l'architecte, 3e éd., Fribourg 1995, n. 889 p. 297 et les notes 4 et 5).</w:t>
      </w:r>
    </w:p>
    <w:p>
      <w:r>
        <w:t>En revanche, les indices suivants plaident nettement en faveur de la thèse de la conclusion d'un contrat d'architecte global. Il appert tout d'abord que le défendeur a confié à E.________ la surveillance du chantier ouvert pour la construction du chalet Z.________. Cette activité de direction des travaux représente une des obligations caractéristiques de l'architecte, qui est considéré de manière générale comme l'homme de confiance du maître (Tercier, op. cit., n. 4858, p. 700; Gauch, op. cit., n. 55/56, p. 18; Alfred Koller, Commentaire bernois, n. 193 ad art. 363 CO ). Le fait que le recourant s'est "(engagé) à payer toutes les factures concernant son chalet" démontre clairement qu'il entendait s'acquitter directement de dettes qui lui étaient propres, issues des prestations fournies par les divers entrepreneurs et vérifiées par l'architecte, lequel devait "(signer) les acomptes et la facture définitive pour chaque corps de métier". Un tel système ne se concevrait pas si un entrepreneur total avait été désigné. A cela s'ajoute qu'il incombait encore au défendeur d'approuver les devis des entrepreneurs, ce qui tend à établir que ces documents devaient servir de base à la volonté du maître de conclure différents contrats d'entreprise partiels à des conditions prédéterminées. Enfin, il était précisé dans la convention que E.________ avait droit à des "honoraires d'ingénieur pour calcul de résistance du béton armé et de la dalle", qui devaient être payés en plus des honoraires d'architecte calculés au pourcentage des travaux facturés. Or, l'incorporation dans le même acte de ces deux formes de rémunération ne se comprend raisonnablement que parce que les activités d'ingénieur en matière immobilière sont étroitement apparentées aux prestations de l'architecte et soumises à la même réglementation juridique (Koller, op. cit., n. 200 ad art. 363 CO ; Gauch, op. cit., n. 48 p. 16).</w:t>
      </w:r>
    </w:p>
    <w:p>
      <w:r>
        <w:t>La référence de l'accord à la norme SIA 118, qui traite des "Conditions générales pour l'exécution des travaux de construction", ne change rien à l'affaire. Il est fait allusion à cette norme SIA uniquement en regard de travaux de construction précisément décrits (pose de madriers en mélèze, couverture du toit, construction des fenêtres, travaux de menuiserie, installation électrique, installation sanitaire et ferblanterie), qui ne recoupent pas la réalisation de la totalité de l'ouvrage. Il apparaît ainsi que la norme SIA en question se rapporte aux contrats à passer avec les entrepreneurs individuels.</w:t>
      </w:r>
    </w:p>
    <w:p>
      <w:r>
        <w:t>C'est donc à bon droit que la cour cantonale a qualifié l'accord du 22 octobre 1994 de contrat d'architecte global.</w:t>
      </w:r>
    </w:p>
    <w:p>
      <w:r>
        <w:rPr>
          <w:b/>
        </w:rPr>
        <w:t>E. 5.1</w:t>
      </w:r>
    </w:p>
    <w:p>
      <w:r>
        <w:t>Le recourant soutient qu'en retenant la validité des contrats pro forma signés le 25 février 1995 dans le cadre de la demande d'autorisation de vente d'un immeuble au défendeur, la cour cantonale aurait violé le droit fédéral, en particulier l' art. 363 CO .</w:t>
      </w:r>
    </w:p>
    <w:p>
      <w:r>
        <w:t>En outre, E.________ n'aurait disposé d'aucun pouvoir l'autorisant à conclure des contrats d'entreprise au nom du défendeur. Pour ne pas l'avoir reconnu, les juges valaisans auraient enfreint les art. 396 al. 2 et 32 CO .</w:t>
      </w:r>
    </w:p>
    <w:p>
      <w:r>
        <w:rPr>
          <w:b/>
        </w:rPr>
        <w:t>E. 5.2.1</w:t>
      </w:r>
    </w:p>
    <w:p>
      <w:r>
        <w:t>La cour cantonale a constaté que, le 25 février 1995, E.________, représentant le recourant, et l'intimé ont signé un contrat pro forma, qui avait été rédigé sur la base d'un modèle type pour les seuls besoins de la procédure d'autorisation de vente aux étrangers. Les juges cantonaux en ont déduit que cet acte n'était pas représentatif de leur volonté de se lier par un contrat bilatéral.</w:t>
      </w:r>
    </w:p>
    <w:p>
      <w:r>
        <w:t>Cette opinion doit être approuvée. Il convient de rappeler que l'autorité administrative compétente n'a autorisé le projet de construction du chalet que le 21 juin 1996. On ne saurait ainsi raisonnablement admettre qu'environ 16 mois auparavant, les parties aient entendu se lier, sans condition, pour l'exécution de travaux de peinture concernant un bâtiment dont la Commission des constructions pouvait empêcher la réalisation. Du reste, il est significatif que le plan de paiement prévu dans le contrat pro forma n'a pas du tout été respecté, du moment qu'à la date de l'établissement de la facture définitive, seul un acompte de 25 % avait été versé à l'entrepreneur, alors que le contrat pro forma stipulait qu'à ce moment en tout cas le 40 % du coût de l'ouvrage aurait déjà dû être réglé.</w:t>
      </w:r>
    </w:p>
    <w:p>
      <w:r>
        <w:rPr>
          <w:b/>
        </w:rPr>
        <w:t>E. 5.2.2</w:t>
      </w:r>
    </w:p>
    <w:p>
      <w:r>
        <w:t>D'après l'état de fait définitif, le demandeur s'est vu confier en été 1997, à une date indéterminée, par l'architecte E.________ tous les travaux de peinture intérieure et extérieure du chalet, cela sans qu'un contrat écrit ait été passé. La conclusion du contrat d'entreprise n'est en effet soumise au respect d'aucune forme particulière ( art. 11 CO ; Tercier, op. cit., n. 3978 p. 582).</w:t>
      </w:r>
    </w:p>
    <w:p>
      <w:r>
        <w:t>La critique porte donc sur les pouvoirs de l'architecte. Selon la jurisprudence, l'architecte qui est chargé de l'adjudication des travaux agit en qualité de mandataire ( ATF 127 III 543 consid. 2a). Le mandat comprend le pouvoir de faire les actes juridiques nécessités par son exécution ( art. 396 al. 2 CO ). Toutefois, cette dernière norme n'habilite pas l'architecte à adjuger au nom du maître des travaux aux entrepreneurs. La jurisprudence a en effet précisé qu'à défaut de pouvoirs exprès, l'architecte ne saurait effectuer pour le maître de l'ouvrage des actes juridiques susceptibles d'engendrer pour ce dernier des engagements financiers importants ( ATF 118 II 313 consid. 2a; 109 II 452 consid. 5c; Rudolf Schwager, Die Vollmacht des Architekten, in: Le droit de l'architecte, 3e éd., Fribourg 1995, n. 807 p. 261/262 et n. 841 p. 275; Roger Zäch, Commentaire bernois, n. 94 ad art. 33 CO ).</w:t>
      </w:r>
    </w:p>
    <w:p>
      <w:r>
        <w:t>Dans le cas présent, il n'a pas été retenu que le défendeur ait donné à E.________ des pouvoirs pour adjuger en son nom des contrats aux entrepreneurs individuels. Rien de tel ne résulte de l'accord du 22 octobre 1994. Reste dès lors à examiner si l'intimé ne peut pas se prévaloir de l' art. 33 al. 3 CO . Le défendeur pourrait en effet être lié à son adverse partie pour le motif qu'il aurait adopté à l'endroit du demandeur une attitude permettant à celui-ci, en vertu du principe de la confiance, de conclure à l'existence d'un pouvoir de représentation de E.________ par le biais d'une procuration externe apparente (externe Anscheinsvollmacht) ( ATF 124 III 418 consid. 1c; 120 II 197 consid. 2a).</w:t>
      </w:r>
    </w:p>
    <w:p>
      <w:r>
        <w:t>Il a été constaté ( art. 63 al. 2 CO ) que E.________ au cours de l'été 1997, a adjugé au demandeur la totalité des travaux de peinture du chalet Z.________. L'intimé a travaillé sur le chantier jusqu'au 12 novembre 1997. Le défendeur se rendait chaque été à O.________ pour suivre la réalisation de son chalet; il se renseignait en outre régulièrement par fax auprès de E.________ à propos de l'avancement des travaux et intervenait même dans le choix des matériaux et équipements.</w:t>
      </w:r>
    </w:p>
    <w:p>
      <w:r>
        <w:t>Il est donc évident que le recourant, qui a laissé E.________ adjuger les travaux précités à l'intimé, a créé l'apparence que l'architecte était son représentant autorisé. Le défendeur, qui suivait de très près la construction de son chalet, ne s'est jamais élevé contre l'attribution au demandeur des travaux de peinture, dont la réalisation en été 1997, période où il séjournait à O.________, ne pouvait lui échapper L'attitude du défendeur est la source d'une apparence de représentation, qui lui est objectivement imputable au vu des circonstances qu'il connaissait. Du moment que la bonne foi du demandeur - du reste présumée ( art. 3 al. 1 CC ) - ne fait pas l'ombre d'un doute, le défendeur est lié à celui-ci par le contrat d'entreprise au sens de l' art. 363 CO qu'a conclu au nom du maître son représentant apparent E.________.</w:t>
      </w:r>
    </w:p>
    <w:p>
      <w:r>
        <w:t>Le moyen doit être rejeté.</w:t>
      </w:r>
    </w:p>
    <w:p>
      <w:r>
        <w:rPr>
          <w:b/>
        </w:rPr>
        <w:t>E. 6.1</w:t>
      </w:r>
    </w:p>
    <w:p>
      <w:r>
        <w:t>Le recourant est d'avis que la cour cantonale a violé le droit fédéral en fixant la rémunération du demandeur sur la base de l' art. 374 CO , et non de l' art. 672 al. 1 CC . Il fait valoir qu'il ne serait pas enrichi de la contre-valeur des travaux, puisqu'il s'est acquitté en mains de E.________ du montant de 350 000 fr. prévu par la convention du 22 octobre 1994.</w:t>
      </w:r>
    </w:p>
    <w:p>
      <w:r>
        <w:t>Dans une seconde branche du grief, le recourant soutient que la cour cantonale a derechef enfreint l' art. 374 CO en se ralliant à l'expert judiciaire, qui a arrêté le prix de l'ouvrage réalisé par le demandeur en considération de la facture qu'il a établie. La Cour civile n'aurait enfin pas relevé que l'intimé avait échoué à démontrer judiciairement le prix de l'ouvrage, ce qui constituerait une transgression de l' art. 8 CC .</w:t>
      </w:r>
    </w:p>
    <w:p>
      <w:r>
        <w:rPr>
          <w:b/>
        </w:rPr>
        <w:t>E. 6.2.1</w:t>
      </w:r>
    </w:p>
    <w:p>
      <w:r>
        <w:t>L' art. 672 CC prévoit dans quelle mesure le déplacement de patrimoine résultant de l'acquisition par le propriétaire du bien-fonds, selon le principe de l'accession (cf. art. 727 CC ), de la propriété d'une construction bâtie avec les matériaux d'autrui, doit être compensé par une indemnité octroyée au propriétaire des matériaux lorsque lesdits matériaux ne sont pas séparés du fonds. Cette disposition ne s'applique toutefois pas si l'emploi des matériaux pour la construction est intervenu sur la base d'un contrat entre le propriétaire des matériaux et celui du bien-fonds ( ATF 99 II 131 consid. 4a et les références).</w:t>
      </w:r>
    </w:p>
    <w:p>
      <w:r>
        <w:t>Dans la mesure où, comme on vient de le voir, le demandeur, qui a affecté ses matériaux au chalet construit sur le fonds du défendeur, a agi en vertu du contrat d'entreprise qu'il avait conclu avec celui-ci, la disposition invoquée est manifestement inapplicable.</w:t>
      </w:r>
    </w:p>
    <w:p>
      <w:r>
        <w:rPr>
          <w:b/>
        </w:rPr>
        <w:t>E. 6.2.2</w:t>
      </w:r>
    </w:p>
    <w:p>
      <w:r>
        <w:t>Si les parties contractantes n'ont pas fixé le prix de l'ouvrage à l'avance, l' art. 374 CO prescrit que le prix sera déterminé d'après la valeur du travail et les dépenses de l'entrepreneur. Il appartient à la partie qui prétend qu'un prix forfaitaire a été convenu de l'établir; si elle échoue, le juge devra appliquer la règle dispositive de l' art. 374 CO (cf. Tercier, op. cit., n. 4267 p. 620).</w:t>
      </w:r>
    </w:p>
    <w:p>
      <w:r>
        <w:t>In casu, il n'a pas été retenu que les parties étaient convenues de fixer le prix de l'ouvrage exécuté par des prix fermes, tels que l'entend l' art. 373 CO . Le recourant ne prétend d'ailleurs pas que ce mode de rémunération ait été adopté. Dans ces conditions, on ne voit pas en quoi la cour cantonale aurait violé le droit fédéral en déterminant le prix de l'ouvrage réalisé par l'intimé en vertu de l' art. 374 CO .</w:t>
      </w:r>
    </w:p>
    <w:p>
      <w:r>
        <w:t>D'après l'état de fait définitif, il a été constaté par expertise que l'ouvrage livré par le demandeur était entaché de défauts mineurs (petite retouche de peinture à effectuer dans une chambre, tache de salissure à masquer sur une plinthe, finitions de vernis à opérer sur des éléments de menuiserie). A supposer même que ces défauts n'aient pas dû être signalés immédiatement après la livraison ( art. 370 al. 1 CO ) et qu'ils dussent ainsi être considérés comme des défauts cachés (sur cette notion, cf. arrêt 4C.149/1995 du 5 décembre 1995, consid. 6a; égal. Gauch, op. cit., n. 2074, 2075 et 2151), le défendeur les a au plus tard découverts à la date où l'expert a établi son rapport, à savoir le 21 juin 1999 ( art. 64 al. 2 OJ ). Or, à réception de ce document, le recourant n'a pas fait savoir sans délai au demandeur qu'il tenait l'ouvrage pour non conforme au contrat et qu'il en rendait ce dernier responsable. Partant, à défaut d'avoir avisé l'intimé de l'existence de ces défauts, le recourant a tacitement accepté l'ouvrage (art. 370 al. 3 in fine CO) et a perdu ses droits à la garantie des défauts, et notamment son droit à la réduction du prix ancré à l' art. 368 al. 2 CO .</w:t>
      </w:r>
    </w:p>
    <w:p>
      <w:r>
        <w:t>Il suit de là que c'est en parfaite conformité avec le droit fédéral que la créance du demandeur a été fixée, en accord avec l'avis de l'expert, au montant de 11 820 fr.50, compte tenu d'une moins-value de 182 fr.70 (12 003 fr.20 - 182 fr.70).</w:t>
      </w:r>
    </w:p>
    <w:p>
      <w:r>
        <w:t>Le moyen s'épuise pour le reste en de vaines critiques contre l'expertise, dont l'appréciation par la cour cantonale ne saurait être critiquée en instance de réforme.</w:t>
      </w:r>
    </w:p>
    <w:p>
      <w:r>
        <w:rPr>
          <w:b/>
        </w:rPr>
        <w:t>E. 7.1</w:t>
      </w:r>
    </w:p>
    <w:p>
      <w:r>
        <w:t>D'après le recourant, en refusant l'exception de l'inexécution qu'il a soulevée et en fixant l'exigibilité de la créance en paiement de l'intimé à l'achèvement des travaux, l'autorité cantonale a transgressé les art. 372 al. 1 et 82 CO , dès lors que, selon un précédent auquel il pouvait se fier de bonne foi ( ATF 89 II 235 ), si l'ouvrage est défectueux, le maître peut retenir le prix en invoquant l'exception susmentionnée.</w:t>
      </w:r>
    </w:p>
    <w:p>
      <w:r>
        <w:t>De toute manière, on ne saurait lui reprocher de n'avoir pas exercé ses droits de garantie immédiatement après l'avis des défauts, puisqu'il aurait été en droit d'attendre pour ce faire, ce qui retardait d'autant l'exigibilité de la créance du demandeur. En outre, dès que les défauts signalés avaient été constatés judiciairement, le recourant pouvait exciper de la compensation ou exercer son droit à la réduction du prix. Enfin, comme le demandeur n'a pas rempli son obligation de livrer un ouvrage sans défaut, sa créance n'était pas exigible.</w:t>
      </w:r>
    </w:p>
    <w:p>
      <w:r>
        <w:rPr>
          <w:b/>
        </w:rPr>
        <w:t>E. 7.2</w:t>
      </w:r>
    </w:p>
    <w:p>
      <w:r>
        <w:t>A teneur de l' art. 372 al. 1 CO , le prix de l'ouvrage est payable au moment de la livraison. La livraison au sens de cette norme consiste dans la remise par l'entrepreneur au maître d'un ouvrage achevé et réalisé conformément au contrat dans chacune de ses parties. Peu importe que l'ouvrage soit ou non entaché de défauts. Du point de vue de l'entrepreneur, la réception correspond à la livraison. Celle-ci se fait par tradition ou par un avis, exprès ou tacite, de l'entrepreneur au maître ( ATF 115 II 456 consid. 4; 113 II 264 consid. 2b; arrêt 4C.132/1994 du 12 septembre 1994, consid. 4a). Si des livraisons et des paiements partiels ont été convenus, le prix afférent à chaque partie de l'ouvrage est payable au moment de la livraison de cette partie ( art. 372 al. 2 CO ).</w:t>
      </w:r>
    </w:p>
    <w:p>
      <w:r>
        <w:t>En l'occurrence, il est constant que le demandeur a exécuté tous les travaux convenus et que le défendeur ne saurait plus invoquer de droit à la réduction du prix (cf. ci-dessus).</w:t>
      </w:r>
    </w:p>
    <w:p>
      <w:r>
        <w:t>Le 12 novembre 1997, le demandeur a terminé ses travaux. A cette date, il a montré de manière reconnaissable à E.________ représentant du maître, que l'ouvrage était achevé et qu'il pouvait être utilisé. E.________, qui avait qualité, sur la seule base de l' art. 396 al. 2 CO , pour prendre livraison de l'ouvrage au nom de son mandant (Schwager, op. cit., n. 851 p. 280), n'a jamais contesté l'achèvement des travaux, en faisant savoir à l'entrepreneur que certains d'entre eux restaient à effectuer. Partant, c'est le 12 novembre 1997 que l'ouvrage complet a été livré et que le prix est devenu exigible.</w:t>
      </w:r>
    </w:p>
    <w:p>
      <w:r>
        <w:t>Les juges valaisans ont considéré que le demandeur n'a interpellé le défendeur que le 10 mars 1998, jour de l'introduction de la demande. Aucune critique n'étant formulée à ce sujet, il n'y a pas lieu d'y revenir.</w:t>
      </w:r>
    </w:p>
    <w:p>
      <w:r>
        <w:rPr>
          <w:b/>
        </w:rPr>
        <w:t>E. 8.1</w:t>
      </w:r>
    </w:p>
    <w:p>
      <w:r>
        <w:t>Le défendeur soutient que la dette qu'il a contractée à l'égard notamment du demandeur doit être compensée avec la dette dont répondrait E.________ à son endroit.</w:t>
      </w:r>
    </w:p>
    <w:p>
      <w:r>
        <w:t>Invoquant la solidarité parfaite ( art. 50 CO ), le recourant s'attache ensuite à démontrer que l'intimé, sous-traitant de l'entrepreneur total E.________, agissait comme auxiliaire de ce dernier et que, dans la mesure où il a participé à l'augmentation excessive du prix forfaitaire de l'ouvrage convenu dans la convention du 22 octobre 1994, il serait tenu solidairement à réparation à l'égard du maître avec E.________ Subsidiairement, le recourant prétend que le demandeur répondrait envers lui d'un dommage en vertu d'une solidarité imparfaite ( art. 51 CO ) avec E.________. A en croire le défendeur, l'intimé aurait dû l'aviser de l'incurie de E.________ et refuser d'exécuter ses ordres lorsqu'ils entraînaient une augmentation exorbitante du prix.</w:t>
      </w:r>
    </w:p>
    <w:p>
      <w:r>
        <w:rPr>
          <w:b/>
        </w:rPr>
        <w:t>E. 8.2.1</w:t>
      </w:r>
    </w:p>
    <w:p>
      <w:r>
        <w:t>Le mécanisme de la compensation instauré par les art. 120 à 126 CO suppose qu'il y ait identité et réciprocité des sujets des obligations ( art. 120 al. 1 CO ). Autrement dit, le débiteur de la créance compensable doit être en même temps créancier de celui qui est titulaire de ladite créance (cf. Viktor Aepli, Commentaire zurichois, n. 21 ad art. 120 CO ; Nicolas Jeandin, Commentaire romand, n. 6 ad art. 120 CO ).</w:t>
      </w:r>
    </w:p>
    <w:p>
      <w:r>
        <w:t>Il suit de là que le recourant ne saurait compenser sa dette envers l'intimé avec la créance qu'il détiendrait contre un tiers (prohibition de la compensation dite ex jure tertii).</w:t>
      </w:r>
    </w:p>
    <w:p>
      <w:r>
        <w:rPr>
          <w:b/>
        </w:rPr>
        <w:t>E. 8.2.2</w:t>
      </w:r>
    </w:p>
    <w:p>
      <w:r>
        <w:t>Si deux ou plusieurs personnes sont tenues de réparer le même dommage, il y a responsabilité plurale. La théorie générale de la pluralité de responsables consacrée par le Tribunal fédéral distingue entre solidarité parfaite et solidarité imparfaite ( ATF 115 II 42 consid.1b; 104 II 225 consid. 4).</w:t>
      </w:r>
    </w:p>
    <w:p>
      <w:r>
        <w:t>La solidarité parfaite présuppose une faute délictuelle commune des coresponsables au sens des art. 41 ss CO (Anton K. Schnyder, Commentaire bâlois, 3e éd., n. 1 ad art. 50 CO ), entre lesquels doit exister un lien communautaire suffisamment étroit (Bernard Corboz, La distinction entre solidarité parfaite et solidarité imparfaite, thèse Genève 1974, p. 57).</w:t>
      </w:r>
    </w:p>
    <w:p>
      <w:r>
        <w:t>Tous les cas de pluralité de responsables d'un même préjudice qui n'entrent pas dans les prévisions de l' art. 50 CO ou d'une autre disposition instituant la solidarité ressortissent à la solidarité imparfaite (ou concours d'actions) instituée par l' art. 51 CO (Pierre Engel, Traité des obligations en droit suisse, 2e éd., p. 565), qui entre en jeu en particulier lorsque les responsables répondent du même dommage en vertu de causes juridiques différentes ( ATF 115 II 42 consid. 1b; 112 II 138 consid. 4).</w:t>
      </w:r>
    </w:p>
    <w:p>
      <w:r>
        <w:t>In casu, il a été démontré ci-dessus que le demandeur n'était pas le sous-traitant de E.________, mais qu'il avait noué avec le défendeur, représenté par le prénommé, un contrat d'entreprise. L'ouvrage que l'intimé a réalisé a été tacitement accepté ( art. 370 al. 3 CO ). Comme le demandeur n'a pas causé de dommage au défendeur, il ne saurait répondre envers ce dernier d'un quelconque chef de responsabilité et donc être tenu à réparation en vertu d'une solidarité, qu'elle soit parfaite ou imparfaite.</w:t>
      </w:r>
    </w:p>
    <w:p>
      <w:r>
        <w:t>Le moyen est privé de tout fondement.</w:t>
      </w:r>
    </w:p>
    <w:p>
      <w:r>
        <w:rPr>
          <w:b/>
        </w:rPr>
        <w:t>E. 9.1</w:t>
      </w:r>
    </w:p>
    <w:p>
      <w:r>
        <w:t>Dans un dernier moyen, le recourant expose que l'hypothèque légale de l' art. 837 al. 1 ch. 3 CC devrait être réservée aux cas où l'inscription est requise avant l'exécution des prestations prévues contractuellement. Il poursuit en reprochant à la Cour civile d'avoir ordonné l'inscription d'une hypothèque sans cause juridique, c'est-à-dire sans que les parties aient été liées par un contrat d'entreprise, à tout le moins sans qu'une rémunération contractuelle ait été stipulée. En retenant que la créance à garantir équivalait à la facture arrêtée par l'expert, les magistrats valaisans auraient violé le droit fédéral, puisque la valeur exacte des travaux effectués par l'intimé n'aurait pas été déterminée. A cela s'ajouterait que la créance de l'intimé serait éteinte par compensation.</w:t>
      </w:r>
    </w:p>
    <w:p>
      <w:r>
        <w:rPr>
          <w:b/>
        </w:rPr>
        <w:t>E. 9.2</w:t>
      </w:r>
    </w:p>
    <w:p>
      <w:r>
        <w:t>En l'espèce, il résulte des considérants qui précèdent que le demandeur, sur la base d'un contrat d'entreprise conclu avec le défendeur représenté par l'architecte E.________, a fourni, sur le chalet Z.________ du recourant, du travail et des matériaux, pour lesquels il est titulaire d'une créance de 11 820 fr.50, dont il convient de déduire un acompte de 3 000 fr., d'où un reliquat encore dû de 8 820 fr.50. On a encore vu qu'aucune compensation n'entrait en ligne de compte. Les conditions du droit à l'inscription posées par les art. 837 al. 1 ch. 3 et 839 al. 3 CC sont donc remplies.</w:t>
      </w:r>
    </w:p>
    <w:p>
      <w:r>
        <w:t>Si l'inscription peut être requise dès le moment de la conclusion du contrat ( art. 839 al. 1 CC ), l'inscription du droit doit intervenir en tout cas dans les trois mois qui suivent l'achèvement des travaux ( art. 839 al. 2 CC ; Paul-Henri Steinauer, op. cit., n. 2883 p. 220). Le recourant, à bon droit, ne conteste pas que ce délai de péremption a été respecté par l'inscription provisoire du gage qui a été opérée le 19 décembre 1997. C'est donc en parfaite conformité avec le droit fédéral que la cour cantonale a dit qu'il y avait lieu d'inscrire à titre définitif sur la parcelle du défendeur une hypothèque légale pour le montant de 8 820 fr.50.</w:t>
      </w:r>
    </w:p>
    <w:p>
      <w:r>
        <w:t>Le grief est infondé.</w:t>
      </w:r>
    </w:p>
    <w:p>
      <w:r>
        <w:rPr>
          <w:b/>
        </w:rPr>
        <w:t>E. 10</w:t>
      </w:r>
    </w:p>
    <w:p>
      <w:r>
        <w:t>En définitive, le recours doit être rejeté dans la mesure de sa recevabilité. Vu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