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4C.88/2000 vom 27. Juni 2000</w:t>
      </w:r>
    </w:p>
    <w:p>
      <w:r>
        <w:t>Bundesgericht, 2000-06-27, DE</w:t>
      </w:r>
    </w:p>
    <w:p>
      <w:r>
        <w:rPr>
          <w:b/>
        </w:rPr>
        <w:t xml:space="preserve">Quelle: </w:t>
      </w:r>
      <w:r>
        <w:t>https://mcp.opencaselaw.ch/entscheid/bger_4C.88_2000</w:t>
      </w:r>
    </w:p>
    <w:p>
      <w:r>
        <w:t>FR: TF 4C.88/2000 du 27 juin 2000</w:t>
      </w:r>
    </w:p>
    <w:p>
      <w:r>
        <w:t>IT: TF 4C.88/2000 del 27 giugno 2000</w:t>
      </w:r>
    </w:p>
    <w:p>
      <w:pPr>
        <w:pStyle w:val="Heading2"/>
      </w:pPr>
      <w:r>
        <w:t>Regeste</w:t>
      </w:r>
    </w:p>
    <w:p>
      <w:r>
        <w:t>Gesellschaftsrecht</w:t>
      </w:r>
    </w:p>
    <w:p>
      <w:pPr>
        <w:pStyle w:val="Heading2"/>
      </w:pPr>
      <w:r>
        <w:t>Erwägungen</w:t>
      </w:r>
    </w:p>
    <w:p>
      <w:r>
        <w:rPr>
          <w:b/>
        </w:rPr>
        <w:t>E. 2</w:t>
      </w:r>
    </w:p>
    <w:p>
      <w:r>
        <w:t>Der Kläger rügt im Weiteren, die kantonalen Instanzen hätten verkannt, dass die Jahresrechnungen sowie die Berichte der Revisionsstelle nicht gesetzeskonform zur Einsichtnahme ausgehändigt worden seien bzw. vorgelegen hätten. a) Die Vorinstanz verwies bezüglich der angeblichen Verletzung von Art. 696 Abs. 1 und 2 OR wiederum auf die Erwägungen des Bezirksgerichts. Dieses erwog, der Kläger habe sich anlässlich der vor der Generalversammlung abgehaltenen Verwaltungsratssitzung damit einverstanden erklärt, zu einem späteren Zeitpunkt nähere Einsicht in die Geschäftsbücher zu nehmen und auf die Einhaltung der 20-tägigen Frist von Art. 696 Abs. 1 OR verzichtet. Angesichts dieser verbindlichen Feststellungen tatsächlicher Art ( Art. 63 Abs. 2 OG ) kann sich im Berufungsverfahren nur noch die Frage stellen, ob ein Aktionär auf die Einhaltung der Frist von Art. 696 Abs. 1 OR überhaupt verzichten kann. b) In der Lehre besteht Einigkeit darüber, dass die Fristen von Art. 696 Abs. 1 OR bzw. Art. 700 Abs. 1 OR in dem Sinn relativ zwingend sind, als sie in den Statuten nicht verkürzt werden können (Forstmoser/Meier-Hayoz/Nobel, a.a.O., S. 207 Rz. 40 und S. 209 Rz. 52; Böckli, Schweizer Aktienrecht, 2. Aufl. , S. 618 Rz. 1261/2 und S. 631 Rz. 1282). Daraus folgt allerdings nicht, dass ein Aktionär im konkreten Einzelfall nicht auf die Einhaltung der zu seinem Schutz aufgestellten Fristen verzichten könnte. Vielmehr geht die gesetzliche Regelung selbst davon aus, dass die für die Einberufung der Generalversammlung vorgeschriebenen Formvorschriften im Einzelfall der Parteidisposition unterliegen, kann bei gegebenen Voraussetzungen doch jederzeit eine Universalversammlung abgehalten werden ( Art. 701 OR ). Der Kläger macht denn auch nicht geltend, ein Verzicht auf die Einhaltung der 20-tägigen Frist von Art. 696 Abs. 1 OR sei nichtig. Die kantonalen Instanzen konnten somit bundesrechtskonform davon ausgehen, der Kläger habe auf die Formvorschrift von Art. 696 Abs. 1 OR verzichtet. 3.-Der Kläger verlangt, sämtliche Generalversammlungsbeschlüsse vom 27. Juni 1997 seien aufzuheben. a) Der Kläger selbst geht davon aus, dass ihm höchstens die Hälfte der Aktien der Beklagten - also 150 von 300 - zustehen, wobei die Eigentumsverhältnisse an gesamthaft 79 dieser 150 Aktien umstritten sind. Er geht im Weiteren davon aus, dass Thomas Pfister ursprünglich über 150 Aktien verfügte, wobei davon 2 Aktien fiduziarisch an Peter Buser übergeben wurden. Somit macht der Kläger namentlich nicht geltend, er habe an der Generalversammlung vom 27. Juni 1997 über eine Stimmenmehrheit verfügt. Die Vorinstanz vertrat im Ergebnis die Auffassung, sämtliche Beschlüsse der Generalversammlung seien gültig zustande gekommen, da selbst bei Unterstellung der (bestrittenen) klägerischen Sachdarstellung dieser höchstens 150 von 300 Stimmen abgeben konnte. Über die gleiche Stimmenzahl hätten in diesem Fall auch Thomas Pfister und Peter Buser verfügt, wobei nach den Statuen der Beklagten dem Vorsitzenden Peter Buser bei Stimmengleichheit der Stichentscheid zugestanden sei. Weil dieser Stichentscheid wo notwendig im Sinne der übrigen Aktionäre und gegen den Kläger ausgeübt worden sei, seien stets gültige Mehrheiten zustande gekommen. b) Für einen Unterfall der Anfechtungsklage - nämlich für den Fall der Teilnahme Unbefugter an der Generalversammlung (vgl. BGE 122 III 279 E. 2 S. 281) - ist ausdrücklich normiert, dass ein Anfechtungsrecht nur besteht, wenn die Mitwirkung Unberechtigter einen Einfluss auf die Beschlussfassung hatte ( Art. 691 Abs. 3 OR ). Dieser Grundsatz gilt jedoch insofern allgemein, als ein Generalversammlungsbeschluss nur dann aufzuheben ist, wenn sich eine Rechtsverletzung auf die Beschlussfassung auch ausgewirkt hat (Forstmoser/Meier-Hayoz/Nobel, a.a.O., S. 250 Rz. 18; Druey, Mängel des GV-Beschlusses, in: Druey/Forstmoser, Rechtsfragen um die Generalversammlung, Zürich 1997, S. 137). Dieser Kausalitätsgrundsatz beruht auf der Überlegung, dass im Interesse der Gesellschaft und der nicht anfechtungswilligen Aktionäre die Abhaltung unnötiger Generalversammlungen und die mit einer Wiederholung der Beschlussfassung verbundenen Umtriebe vermieden werden sollen, wenn feststeht, dass die Abstimmung auch bei Berücksichtigung der Verfahrensvorschriften zum gleichen Ergebnis führt. Gleichzeitig wird dadurch verhindert, dass die Tätigkeit der Gesellschaft durch an sich unnütze Anfechtungsklagen blockiert wird ( BGE 122 III 279 E. 3c/cc S. 285/6 mit Hinweisen). Nach herrschender Lehre und Rechtsprechung ist es zudem zulässig, dass die Statuten wie im vorliegenden Fall für den Fall der Stimmengleichheit den Stichentscheid des Vorsitzenden der Generalversammlung vorsehen ( BGE 95 II 555 ; Böckli, a.a.O., S. 685 Rz. 1385; Forstmoser/Meier-Hayoz/ Nobel, a.a.O., S. 228 Rz. 57). Dafür, dass der Vorsitzende den Stichentscheid rechtsmissbräuchlich ausgeübt haben soll, wie dies der Kläger behauptet, finden sich im angefochtenen Urteil keine Anhaltspunkte. c) Die Vorinstanz hat festgestellt, die an der Generalversammlung gefassten Beschlüsse hätten aufgrund des Stichentscheids des Vorsitzenden auch für den Fall, dass der Kläger wie behauptet mit 150 Stimmen gestimmt hätte, eine Mehrheit auf sich vereinigt. Nachdem sich somit die vom Kläger behaupteten Rechtsverletzungen auf die Mehrheitsverhältnisse nicht ausgewirkt haben, ist bereits fraglich, ob die klägerischen Begehren auf einem hinreichenden Anfechtungsinteresse beruhen (vgl. dazu BGE 122 III 279 E. 3a S. 282). Jedenfalls hat das Obergericht die Anfechtungsklage mangels Kausalität der behaupteten Rechtsverletzungen zu Recht abgewiesen. 4.-Der Kläger rügt, die kantonalen Instanzen hätten den Streitwert zu hoch angesetzt und die Kosten in einer Art. 706a Abs. 3 OR verletzenden Weise verteilt. a) Die Bestimmung des Streitwertes im kantonalen Verfahren richtet sich nicht nach Bundesrecht, sondern nach der anwendbaren kantonalen Prozessordnung. Die entsprechende Rüge ist deshalb im Berufungsverfahren nicht zu hören ( Art. 43 Abs. 1 OG ; vgl. BGE 123 III 261 E. 4, wo die Streitwertbemessung der kantonalen Instanz im Verfahren der staatsrechtlichen Beschwerde beurteilt wurde). Nur soweit der Kläger die vom Obergericht verweigerte Kostenaufteilung unter Verweis auf Art. 706a Abs. 3 OR als bundesrechtswidrig rügt, kann auf diesen Punkt der Berufung eingetreten werden. Für das vorliegende Berufungsverfahren hingegen setzt das Bundesgericht den Streitwert von Amtes wegen und nach freiem Ermessen fest ( Art. 36 Abs. 2 OG ). b) Nach bundesgerichtlicher Rechtsprechung sind Klagen auf Anfechtung von Generalversammlungsbeschlüssen einer Aktiengesellschaft vermögensrechtlicher Natur ( BGE 107 II 179 E. 1 S. 181 mit Hinweisen). Für die Bemessung des Streitwertes ist dabei nicht das persönliche Interesse des anfechtenden Aktionärs, sondern das Gesamtinteresse der Gesellschaft massgebend ( BGE 92 II 243 E. 1b S. 246; 75 II 149 E. 1 S. 152 mit Hinweisen). Der Kläger beziffert den Streitwert auf Fr. 20'000.--, währenddem die Beklagte von einem dem Aktienkapital entsprechenden Betrag von Fr. 300'000.-- ausgeht. Die Vorinstanz erwog, der Kläger habe mit seiner Klage unter anderem auch angestrebt, weiterhin als Verwaltungsrat tätig zu sein. Er habe sich überdies zu Investitionen von insgesamt Fr. 578'000.-- verpflichtet und mache geltend, die Beklagte sei finanziell angeschlagen. Dagegen wende diese ein, sie sei saniert. Unter diesen Umständen sei offensichtlich, dass der Streitwert Fr. 20'000.-- übersteige, weshalb dieser den höheren Angaben der Beklagten folgend auf Fr. 300'000.-- festzusetzen sei. Der Kläger bringt in der Berufung nicht vor, bei der Beklagten liege ein Kapitalverlust oder eine Überschuldung vor ( Art. 725 OR ). Diese wiederum macht nicht geltend, ihr Wert übersteige das Aktienkapital. Aus der Tatsache, dass der Kläger die Aufhebung sämtlicher Generalversammlungsbeschlüsse der Beklagten verlangt, wird ersichtlich, dass es im vorliegenden Verfahren letztlich um die Kontrolle über die Beklagte geht. Angesichts der Schwierigkeit, den im Streit liegenden Anspruch genau zu beziffern, drängt es sich unter den gegebenen Umständen auf, der Festsetzung des Streitwertes mit den kantonalen Instanzen die Höhe des Aktienkapitals zu Grunde zu legen. Auch für das bundesgerichtliche Verfahren ist somit von einem Streitwert von Fr. 300'000.-- auszugehen. c) Gemäss Art. 706a Abs. 3 OR hat das Sachgericht die Kosten bei Abweisung einer Anfechtungsklage nach seinem Ermessen auf die Gesellschaft und den Kläger zu verteilen. Dem Richter bleibt indessen nach wie vor unbenommen, die gesamten Prozesskosten der unterliegenden Partei aufzuerlegen; Anspruch auf zumindest teilweise Kostenbefreiung besitzt diese nicht (vgl. Casutt, Rechtliche Aspekte der Verteilung der Prozesskosten, in: FS Forstmoser, Zürich 1993, S. 83). Nach Art. 4 ZGB hat das Sachgericht seine Entscheidung nach Recht und Billigkeit zu treffen, wozu sämtliche für den Entscheid wesentlichen Umstände des Einzelfalls zu würdigen sind. Zu berücksichtigen sind etwa die Erfolgsaussichten bei Einleitung des Prozesses, der Informationsstand des Klägers vor dem Prozess, das vorprozessuale Verhalten der Gesellschaft, die Klageziele, der Gang des Prozesses etc. (Forstmoser/Meier-Hayoz/Nobel, a.a.O., S. 259 Rz. 83; Casutt, a.a.O., S. 87 ff.). Bei der Überprüfung derartiger richterlicher Ermessensentscheide auferlegt sich das Bundesgericht Zurückhaltung. So schreitet es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Ermessensentscheide wird ferner eingegriffen, wenn sich diese als offensichtlich unbillig, als in stossender Weise ungerecht erweisen ( BGE 123 III 274 E. 1a/cc S. 279/80; 122 III 262 E. 2a/bb S. 267 mit Hinweisen). Im vorliegenden Fall ist zu berücksichtigen, dass der Kläger selbst nicht behauptet hat, an der Generalversammlung vom 27. Juni 1997 über eine Stimmenmehrheit verfügt zu haben; er ging überdies ausdrücklich davon aus, dass Thomas Pfister zusammen mit Peter Buser über die Hälfte der Stimmen verfügte. Er musste zudem wissen, dass gemäss den Statuten der Beklagten dem Vorsitzenden Peter Buser bei Stimmengleichheit an der Generalversammlung der Stichentscheid zustand. Somit hätte er erkennen können, dass die fraglichen Beschlüsse selbst dann gültig zustande gekommen waren, wenn seine Sachdarstellung als zutreffend unterstellt wird und dass sich somit die behaupteten Rechtsverletzungen auf die Beschlussfassung nicht ausgewirkt haben. Unter diesen Umständen rechtfertigt es sich nicht, der obsiegenden Beklagten Kosten aufzuerlegen (vgl. Casutt, a.a.O., S. 87). Die vorinstanzliche Kostenverlegung verletzt demnach Bundesrecht nicht; in Anwendung derselben Grundsätze sind dem unterliegenden Kläger überdies auch die Kosten des bundesgerichtlichen Verfahrens aufzuerlegen.</w:t>
      </w:r>
    </w:p>
    <w:p>
      <w:r>
        <w:rPr>
          <w:b/>
        </w:rPr>
        <w:t>E. 5</w:t>
      </w:r>
    </w:p>
    <w:p>
      <w:r>
        <w:t>Damit erweisen sich die vom Kläger vorgebrachten Rügen als unbegründet. Die Berufung ist deshalb abzuweisen. Bei diesem Verfahrensausgang wird - nachdem sich eine andere Kostenverlegung gemäss Art. 706a Abs. 3 OR nicht rechtfertigt -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