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4C.83/2004 vom 29. April 2004</w:t>
      </w:r>
    </w:p>
    <w:p>
      <w:r>
        <w:t>Bundesgericht, 2004-04-29, FR</w:t>
      </w:r>
    </w:p>
    <w:p>
      <w:r>
        <w:rPr>
          <w:b/>
        </w:rPr>
        <w:t xml:space="preserve">Quelle: </w:t>
      </w:r>
      <w:r>
        <w:t>https://mcp.opencaselaw.ch/entscheid/bger_4C.83_2004</w:t>
      </w:r>
    </w:p>
    <w:p>
      <w:r>
        <w:t>FR: TF 4C.83/2004 du 29 avril 2004</w:t>
      </w:r>
    </w:p>
    <w:p>
      <w:r>
        <w:t>IT: TF 4C.83/2004 del 29 aprile 2004</w:t>
      </w:r>
    </w:p>
    <w:p>
      <w:pPr>
        <w:pStyle w:val="Heading2"/>
      </w:pPr>
      <w:r>
        <w:t>Erwägungen</w:t>
      </w:r>
    </w:p>
    <w:p>
      <w:r>
        <w:rPr>
          <w:b/>
        </w:rPr>
        <w:t>E. 1.1</w:t>
      </w:r>
    </w:p>
    <w:p>
      <w:r>
        <w:t>Interjeté en temps utile ( art. 54 al. 1 OJ ) et dans les formes requises ( art. 55 OJ ) par la partie qui a succombé dans ses conclusions libératoires et dirigé contre un jugement final rendu en dernière instance cantonale par un tribunal supérieur ( art. 48 OJ ) sur une contestation civile dont la valeur litigieuse atteint le seuil de 8'000 fr. ( art. 46 OJ ), le recours en réforme est en principe recevable.</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p. 252; 126 III 59 consid. 2a p. 65).</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p. 252).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p. 191; 125 III 78 consid. 3a p. 79).</w:t>
      </w:r>
    </w:p>
    <w:p>
      <w:r>
        <w:rPr>
          <w:b/>
        </w:rPr>
        <w:t>E. 2</w:t>
      </w:r>
    </w:p>
    <w:p>
      <w:r>
        <w:t>Le défendeur se plaint d'une violation de l' art. 337 al. 1 CO . Le comportement menaçant lors de l'altercation du 3 juillet 2002, et la volonté de ne pas s'excuser auprès du chef d'atelier le lendemain, justifierait à ses yeux le licenciement immédiat.</w:t>
      </w:r>
    </w:p>
    <w:p>
      <w:r>
        <w:rPr>
          <w:b/>
        </w:rPr>
        <w:t>E. 3.1</w:t>
      </w:r>
    </w:p>
    <w:p>
      <w:r>
        <w:t>Selon l' art. 337 al. 1 CO , l'employeur et le travailleur peuvent résilier immédiatement le contrat en tout temps pour de justes motifs. Sont notamment considérées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(arrêt 4C.223/2003 du 21 octobre 2003 destiné à la publication, consid. 4.1; ATF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(arrêt précité du 21 octobre 2003, consid. 4.1; ATF 129 III 380 consid. 2.1 p. 382). Par manquement du travailleur, on entend en règle générale la violation d'une obligation découlant du contrat de travail, comme l'obligation d'exécuter le travail ou le devoir de fidélité ( ATF 127 III 351 consid. 4a p. 354 et les arrêts cités), mais d'autres facteurs peuvent aussi justifier un licenciement immédiat (cf. ATF 129 III 380 consid. 2.2 p. 382).</w:t>
      </w:r>
    </w:p>
    <w:p>
      <w:r>
        <w:t>Le juge apprécie librement s'il existe de justes motifs ( art. 357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(arrêt précité du 21 octobre 2003, consid. 4.1; ATF 129 III 380 consid. 2 p. 382; 127 III 153 consid. 1a p. 155, 351 consid. 4a p. 354).</w:t>
      </w:r>
    </w:p>
    <w:p>
      <w:r>
        <w:rPr>
          <w:b/>
        </w:rPr>
        <w:t>E. 3.2</w:t>
      </w:r>
    </w:p>
    <w:p>
      <w:r>
        <w:t>Dans le cas particulier, la cour cantonale a retenu, d'une manière qui lie le Tribunal fédéral en instance de réforme ( art. 63 al. 2 OJ ), que l'employé a proféré des insultes très grossières à l'encontre de son chef d'atelier et qu'il a levé la main, voire le poing en sa direction, sans qu'il ait été établi qu'il ait réellement eu l'intention de le frapper. Si le chef d'atelier était préposé à la formation du travailleur, il n'entrait pas dans cette tâche de lui faire des remarques concernant l'installation d'un accessoire sur une bicyclette lors de la pause, qui a pu être ressentie comme une remontrance injuste par l'employé. Quant au contenu de l'altercation, il n'a pas pu être établi de manière suffisamment claire, si ce n'est que les insultes les plus grossières émanaient de l'employé, et non pas de son chef direct. Aussi, face à un comportement inadapté de la sorte, l'employeur devait réagir, ce qu'il a fait pour respecter l' art. 328 CO , mais de façon exagérée.</w:t>
      </w:r>
    </w:p>
    <w:p>
      <w:r>
        <w:t>De même, le fait, pour l'employé, de refuser de s'excuser auprès du chef d'atelier, le lendemain, ne révèle pas forcément de l'agressivité ou de l'insubordination de sa part, mais le sentiment de ne pas acquiescer à une accusation, ressentie comme injuste.</w:t>
      </w:r>
    </w:p>
    <w:p>
      <w:r>
        <w:t>Tant le Tribunal des prud'hommes que la Chambre d'appel de cette juridiction ont successivement estimé, à la faveur du large pouvoir d'appréciation que leur confère l' art. 4 CC , que le licenciement immédiat était disproportionné et que l'employeur aurait dû notifier un avertissement; dans ces conditions, le Tribunal fédéral ne saurait s'écarter de l'opinion des juridictions précédentes, qui respectent les règles établies en matière de libre appréciation, et qui n'aboutissent pas à un résultat manifestement injuste, mais qui au contraire corrigent la mesure adoptée, précisément pour éviter un tel résultat.</w:t>
      </w:r>
    </w:p>
    <w:p>
      <w:r>
        <w:t>Enfin, il ne faut pas perdre de vue que cette altercation est la seule qui est survenue après cinq mois de travail sans aucun incident, de sorte que le défendeur ne peut en aucun cas invoquer l' ATF 127 III 351 , notamment p. 355 consid. 4b/dd, où il est question de disputes fréquentes (jusqu'à deux fois par jour), dont l'une a motivé l'intervention de la police, même si aucune plainte pénale n'a été déposée par la victime à la suite des faits en cause.</w:t>
      </w:r>
    </w:p>
    <w:p>
      <w:r>
        <w:t>Malgré leur caractère déplaisant, les faits reprochés à l'employé n'étaient pas susceptibles d'entraîner immédiatement, sans avertissement, un licenciement pour justes motifs, de sorte que la décision de la Chambre d'appel sera confirmée, ce qui entraîne le maintien du jugement du Tribunal des prud'hommes condamnant le défendeur à payer à B.________ et à la CCGC les montants figurant dans le dispositif du jugement du 30 octobre 2002.</w:t>
      </w:r>
    </w:p>
    <w:p>
      <w:r>
        <w:rPr>
          <w:b/>
        </w:rPr>
        <w:t>E. 4</w:t>
      </w:r>
    </w:p>
    <w:p>
      <w:r>
        <w:t>Comme la valeur litigieuse ne dépassait pas 30'000 fr. à l'ouverture de l'action, la procédure est gratuite ( art. 343 al. 2 et 3 CO ; ATF 115 II 30 consid. 5b p. 41). Le demandeur ne s'est pas prononcé sur le recours; il n'a donc pas eu de frais liés à celui-ci, de sorte qu'il ne se justifie pas de lui octroyer des dépens (cf. art. 159 al. 1 OJ ). Quant à l'intervenante, il s'agit d'un organisme chargé de tâches de droit public; dès lors qu'elle n'a pas recouru aux services d'un avocat, il n'y a pas lieu de s'écarter de la règle générale selon laquelle elle ne peut prétendre à des dépens ( art. 159 al. 2 OJ ; ATF 106 V 123 consid. 3 p. 123; ATFA K.61/1997 du 24 janvier 2000, consid. 3).</w:t>
      </w:r>
    </w:p>
    <w:p>
      <w:r>
        <w:t>En conséquence, il sera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