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4C.81/2004 vom 10. Mai 2004</w:t>
      </w:r>
    </w:p>
    <w:p>
      <w:r>
        <w:t>Bundesgericht, 2004-05-10, DE</w:t>
      </w:r>
    </w:p>
    <w:p>
      <w:r>
        <w:rPr>
          <w:b/>
        </w:rPr>
        <w:t xml:space="preserve">Quelle: </w:t>
      </w:r>
      <w:r>
        <w:t>https://mcp.opencaselaw.ch/entscheid/bger_4C.81_2004</w:t>
      </w:r>
    </w:p>
    <w:p>
      <w:r>
        <w:t>FR: TF 4C.81/2004 du 10 mai 2004</w:t>
      </w:r>
    </w:p>
    <w:p>
      <w:r>
        <w:t>IT: TF 4C.81/2004 del 10 maggio 2004</w:t>
      </w:r>
    </w:p>
    <w:p>
      <w:pPr>
        <w:pStyle w:val="Heading2"/>
      </w:pPr>
      <w:r>
        <w:t>Erwägungen</w:t>
      </w:r>
    </w:p>
    <w:p>
      <w:r>
        <w:rPr>
          <w:b/>
        </w:rPr>
        <w:t>E. 1</w:t>
      </w:r>
    </w:p>
    <w:p>
      <w:r>
        <w:t>Nach Art. 55 Abs. 1 lit. c OG ist in der Berufungsschrift anzugeben, welche Bundesrechtssätze der angefochtene Entscheid verletzt und inwiefern er gegen sie verstösst. Aus den Vorbringen muss mindestens hervorgehen, gegen welche Regeln des Bundesrechts die Vorinstanz verstossen haben soll. Daher ist unerlässlich, dass auf die Begründung des angefochtenen Urteils eingegangen und im Einzelnen dargetan wird, worin eine Verletzung von Bundesrecht liegen soll ( BGE 121 III 397 E. 2a S. 400). Unzulässig sind dagegen Rügen, die sich gegen die tatsächlichen Feststellungen und gegen die Beweiswürdigung der Vorinstanz richten, es sei denn, es werden zugleich substanziierte Rügen im Sinne von Art. 63 Abs. 2 OG (offensichtliches Versehen) oder Art. 64 OG (unvollständige Ermittlung des Sachverhalts) erhoben ( BGE 130 III 102 E. 2.2 S. 106, 136 E. 1.4 S. 140; 127 III 390 E. 1f S. 393, je mit Hinweisen) sowie Rügen der Verletzung von Verfassungsrecht (vgl. Art. 43 Abs. 1 Satz 2 OG ) - so insbesondere der Vorwurf der Willkür - und Erörterungen über die Anwendung kantonalen Rechts (vgl. Art. 43 Abs. 1 und 2 OG ). Dieselben Grundsätze gelten für die Berufungsantwort ( Art. 59 Abs. 3 OG ).</w:t>
      </w:r>
    </w:p>
    <w:p>
      <w:r>
        <w:t>Soweit die Beklagte diese Regeln missachtet, ist auf ihre Vorbringen nicht einzutreten. Das gilt insbesondere für Sachverhaltselemente in der Berufung, die im angefochtenen Urteil keine Stütze finden. Unbeachtlich bleibt auch die in der Berufungsantwort vorgebrachte Willkürrüge des Klägers mit Bezug auf den vom kantonalen Recht beherrschten Entscheid der Vorinstanz über die Regelung der Kosten- und Entschädigungsfolgen des kantonalen Verfahrens.</w:t>
      </w:r>
    </w:p>
    <w:p>
      <w:r>
        <w:rPr>
          <w:b/>
        </w:rPr>
        <w:t>E. 2</w:t>
      </w:r>
    </w:p>
    <w:p>
      <w:r>
        <w:t>Der Inhalt eines Vertrages bestimmt sich in erster Linie durch subjektive Auslegung, das heisst nach dem übereinstimmenden wirklichen Parteiwillen ( Art. 18 Abs. 1 OR ). Nur wenn eine tatsächliche Willensübereinstimmung nicht besteht oder unbewiesen bleibt, sind zur Ermittlung des mutmasslichen Parteiwillens die Parteierklärungen so auszulegen, wie sie vom Empfänger in guten Treuen verstanden werden durften und mussten ( BGE 129 III 118 E. 2.5 S. 122).</w:t>
      </w:r>
    </w:p>
    <w:p>
      <w:r>
        <w:t>Die Vorinstanz schloss aus eigenen Äusserungen der Beklagten, mithin in Beweiswürdigung, dass sie selbst das Budget für das Jahr 2000 als Grundlage für die Entscheidfindung des Klägers verstand und ihm damit eine bindende Offerte habe unterbreiten wollen. Wiederum in Beweiswürdigung stellte die Vorinstanz weiter fest, der Kläger habe die Offerte denn auch entsprechend als bindend aufgefasst. Die Vorinstanz ging somit von einem tatsächlichen Konsens über die Bedeutung des Budgets 2000 aus, weshalb für eine normative Auslegung der Willenserklärungen kein Raum blieb. Die Rüge der Beklagten, die Vorinstanz habe in Verletzung von Art. 2 Abs. 1 ZGB verkannt, dass der Kläger nach dem Vertrauensprinzip im Budget 2000 kein Angebot im technischen Sinne, sondern lediglich eine Vororientierung habe erkennen dürfen, fällt damit ins Leere. Dasselbe gilt für ihre Rüge der Verletzung von Art. 1 OR , die ebenfalls auf der irrigen Annahme beruht, die Vorinstanz habe eine normative Bindung des Klägers an das Budget 2000 angenommen.</w:t>
      </w:r>
    </w:p>
    <w:p>
      <w:r>
        <w:rPr>
          <w:b/>
        </w:rPr>
        <w:t>E. 3</w:t>
      </w:r>
    </w:p>
    <w:p>
      <w:r>
        <w:t>Die Vorinstanz hat ausgeführt, die Beklagte habe ungeachtet des Umstandes, dass sich der Kläger erst lange nach Ablauf des bis zum 25. Mai 2000 festgesetzten Termins zum Budget äusserte, die Anmeldungen zum Seminar vorgenommen und weitere organisatorische Vorkehren zu dessen Durchführung getroffen. Daraus folgert die Vorinstanz, dass die Beklagte selbst nicht an der von ihr festgesetzten Frist bis zum 25. Mai 2000 festgehalten habe. An dieser für das Bundesgericht verbindlichen Feststellung bricht sich die sinngemäss vorgetragene Rüge der Beklagten, die Vorinstanz habe, sollte im Budget 2000 eine verbindliche Offerte zu erblicken sein, Art. 5 Abs. 1 OR verletzt, indem sie verkannt habe, dass die am 7. August 2000 erfolgte Annahme zu spät erfolgt und die Beklagte damals nicht mehr daran gebunden gewesen sei. Soweit die Beklagte in diesem Zusammenhang geltend macht, der Kläger sei in seiner Annahmeerklärung bewusst zu ihren Lasten von den im Budget figurierenden Zahlen abgewichen, ist ihr Vorbringen nicht entscheiderheblich, wird doch im angefochtenen Urteil auf die von der Beklagten genannten Beträge abgestellt. Dass sich aber der Kläger in seinem Schreiben vom 7. August 2000 wesentlich auf das Angebot der Beklagten stützte und es damit im Grundsatz akzeptierte, stellt die Beklagte mit Recht nicht in Abrede.</w:t>
      </w:r>
    </w:p>
    <w:p>
      <w:r>
        <w:rPr>
          <w:b/>
        </w:rPr>
        <w:t>E. 4</w:t>
      </w:r>
    </w:p>
    <w:p>
      <w:r>
        <w:t>Schliesslich bringt die Beklagte in der Berufung vor, die Vereinbarung betreffend die finanzielle Auseinandersetzung, sollte sie entsprechend der Auffassung der Vorinstanz zustande gekommen sein, sei wegen besonders krasser Inäquivalenz der beidseitigen Leistungen und Gegenleistungen gemäss Art. 20 Abs. 1 OR als nichtig zu betrachten. Wiederum legt die Beklagte ihrer Rüge einen Sachverhalt zugrunde, der dem angefochtenen Urteil nicht zu entnehmen ist, indem sie behauptet, gemäss Budget hätte sich für den Kläger ein Stundenansatz von Fr. 465.--, für sie selbst ein solcher von Fr. 6.-- ergeben. Darauf ist nicht einzutreten. Abgesehen davon begründet nach der neueren Rechtsprechung eine Wertdisparität von Leistung und Gegenleistung für sich allein keine Sittenwidrigkeit. Dieser Problemkreis wird vielmehr abschliessend vom Übervorteilungstatbestand des Art. 21 Abs. 1 OR erfasst, wonach ein offenbares Missverhältnis zwischen Leistung und Gegenleistung nur dann die Unverbindlichkeit des Vertrages zur Folge hat, wenn die eine Partei dessen Abschluss durch Ausbeutung der Notlage, der Unerfahrenheit oder des Leichtsinns der andern herbeigeführt hat ( BGE 115 II 232 E. 4c S. 236; bestätigt im Urteil des Bundesgerichts 4C.214/2003 vom 21. November 2003, E. 4.2). Dass derartige Umstände vorgelegen hätten, hat die Vorinstanz - insoweit unangefochten - verneint. Die Beklagte hat dem Kläger die Offerte zur Berechnung seines Honorars in Ausübung ihrer Vertragsfreiheit unterbreitet. Sie ist daran gebunden. Für eine Änderung der Rechtsprechung, wie sie die Beklagte unter Hinweis auf bestimmte Lehrmeinungen anstrebt, besteht im vorliegenden Falle kein Grund.</w:t>
      </w:r>
    </w:p>
    <w:p>
      <w:r>
        <w:rPr>
          <w:b/>
        </w:rPr>
        <w:t>E. 5</w:t>
      </w:r>
    </w:p>
    <w:p>
      <w:r>
        <w:t>Der Kläger kritisiert in der Berufungsantwort als bundesrechtswidrig, dass die Vorinstanz den als unpräjudiziell bezeichneten Vergleichsvorschlag der Beklagten, ihm Fr. 24'000.-- zu bezahlen, nicht als Schuldanerkennung eingestuft hat. Da der Kläger keine Anschlussberufung eingelegt hat, ist mangels Rechtsschutzinteresses auf die Rüge nicht einzutreten.</w:t>
      </w:r>
    </w:p>
    <w:p>
      <w:r>
        <w:rPr>
          <w:b/>
        </w:rPr>
        <w:t>E. 6</w:t>
      </w:r>
    </w:p>
    <w:p>
      <w:r>
        <w:t>Nach dem Gesagten ist die Berufung abzuweisen, soweit darauf einzutreten ist. Bei diesem Verfahrensausgang wird die Beklagte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