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4C.76/2000 vom 25. September 2000</w:t>
      </w:r>
    </w:p>
    <w:p>
      <w:r>
        <w:t>Bundesgericht, 2000-09-25, DE</w:t>
      </w:r>
    </w:p>
    <w:p>
      <w:r>
        <w:rPr>
          <w:b/>
        </w:rPr>
        <w:t xml:space="preserve">Quelle: </w:t>
      </w:r>
      <w:r>
        <w:t>https://mcp.opencaselaw.ch/entscheid/bger_4C.76_2000</w:t>
      </w:r>
    </w:p>
    <w:p>
      <w:r>
        <w:t>FR: TF 4C.76/2000 du 25 septembre 2000</w:t>
      </w:r>
    </w:p>
    <w:p>
      <w:r>
        <w:t>IT: TF 4C.76/2000 del 25 settembre 2000</w:t>
      </w:r>
    </w:p>
    <w:p>
      <w:pPr>
        <w:pStyle w:val="Heading2"/>
      </w:pPr>
      <w:r>
        <w:t>Regeste</w:t>
      </w:r>
    </w:p>
    <w:p>
      <w:r>
        <w:t>Vertragsrecht</w:t>
      </w:r>
    </w:p>
    <w:p>
      <w:pPr>
        <w:pStyle w:val="Heading2"/>
      </w:pPr>
      <w:r>
        <w:t>Erwägungen</w:t>
      </w:r>
    </w:p>
    <w:p>
      <w:r>
        <w:rPr>
          <w:b/>
        </w:rPr>
        <w:t>E. 1</w:t>
      </w:r>
    </w:p>
    <w:p>
      <w:r>
        <w:t>Nach Art. 55 Abs. 1 lit. c OG ist in der Berufungsschrift anzugeben, welche Bundesrechtssätze und inwiefern sie der angefochtene Entscheid verletzt. Unzulässig sind dagegen Rügen, die sich gegen die tatsächlichen Feststellungen und gegen die Beweiswürdigung der Vorinstanz richten ( BGE 120 II 97 E. 2b S. 99, 119 II 84 E. 3, 116 II 93 E. 2), es sei denn, es werde dieser zugleich ein offensichtliches Versehen, eine Verletzung bundesrechtlicher Beweisvorschriften ( Art. 63 Abs. 2 OG ) oder unvollständige Ermittlung des Sachverhalts vorgeworfen ( Art. 64 OG ). Gegen diese Vorschriften verstösst der Zweitbeklagte, wenn er, ohne eine der genannten Ausnahmen geltend zu machen, in Abweichung von den Feststellungen des Obergerichts sinngemäss davon ausgeht, die Kläger hätten die Mängel ihm gegenüber nicht rügen wollen.</w:t>
      </w:r>
    </w:p>
    <w:p>
      <w:r>
        <w:rPr>
          <w:b/>
        </w:rPr>
        <w:t>E. 2</w:t>
      </w:r>
    </w:p>
    <w:p>
      <w:r>
        <w:t>a) Der Zweitbeklagte macht in seinem ersten Hauptstandpunkt geltend, die Erstbeklagte habe sich durch ihr gesamtes Verhalten vor, während und nach dem Kauf des Grundstückes mit dem Wohnhaus durch die Kläger verpflichtet, den Klägern ausschliesslich für Werkmängel am Gebäude zu haften. So ergebe sich bei richtiger Beweiswürdigung und unter den gegebenen Umständen auch aus der allgemeinen Lebenserfahrung und bei korrekter Anwendung der Gewährleistungsbestimmungen, dass sich die Erstbeklagte als Totalunternehmerin dem Käufer gegenüber direkt habe verpflichten wollen. Auf diese Rüge kann - soweit sie nicht bereits deshalb unzulässig ist, weil sie die Beweiswürdigung betrifft - mangels Rechtsschutzinteresses nicht eingetreten werden, weil die Erstbeklagte durch ihr Verhalten keinen Haftungsausschluss zu Gunsten des Zweitbeklagten, sondern höchstens eine konkludente eigene Haftungsübernahme bewirken konnte und der Zweitbeklagte gemäss den zutreffenden Ausführungen des Obergerichts nicht legitimiert ist, die Haftung der Erstbeklagten gegenüber der Klägerin geltend zu machen. b) Des Weiteren macht der Zweitbeklagte geltend, die alleinige Haftung der Erstbeklgten dränge sich auch auf Grund von Ziff. II I6.1 des Grundstückkaufvertrags auf, weil den Verkäufern kein Architekt, keine Ingenieure und keine Bauunternehmer hafteten, da die Verkäufer mit diesen am Bau beteiligten Personen keine Aufträge und keine Werkverträge abgeschlossen hätten, was die vertragliche Bestimmung jedoch voraussetze. Diese Auslegung ist jedoch - wie der Zweitbeklagte selbst erkennt - spitzfindig. Nach dem Vertrauensprinzip ist die Haftungsbeschränkung gemäss Ziff. II/6. 1. des Kaufvertrages vielmehr dahingehend auszulegen, dass die Verkäuferschaft so weit für Mängel eizustehen hat, als ihr die am Bau beteiligten Unternehmen etc. direkt oder auch indirekt z.B. über die Erstbeklagte als Totalunternehmerin bzw. im Rahmen eines Gesellschaftsverhältnisses haften.</w:t>
      </w:r>
    </w:p>
    <w:p>
      <w:r>
        <w:rPr>
          <w:b/>
        </w:rPr>
        <w:t>E. 3</w:t>
      </w:r>
    </w:p>
    <w:p>
      <w:r>
        <w:t>a) Der Zweitbeklagte führt in seinem zweiten Hauptstandpunkt an, er hafte den Klägern nicht für Mängel, weil ihm gegenüber vor Ablauf der Garantiefrist nie Mängelrügen erhoben worden seien, zumal die Erstbeklagte während dieser Frist nicht als seine Vertreterin gehandelt habe, es sei denn, dass zwischen der Erstbeklagten und den Verkäufern Sieger/Bay ein einfaches Gesellschaftsverhältnis zum Zwecke der Überbauung und dem Verkauf der Liegenschaft vorgelegen habe. Ein solches Gesellschaftsverhältnis und die damit verbundene solidarische Haftung der Erstbeklagten habe das Obergericht unter den gegebenen Umständen zu Unrecht verneint, weil es verkannt habe, dass diese Gesellschaft mangels Eigentums an der Liegenschaft nicht formell als Verkäuferin habe auftreten können. b) Mit diesen Ausführungen schliesst sich der Zweitbeklagte nachträglich dem Standpunkt der Kläger an, welche eine solidarische Haftung geltend machten, indem sie davon ausgingen, der Grundstückkaufvertrag sei im Namen einer solchen einfachen Gesellschaft abgeschlossen worden. Damit anerkennt der Zweitbeklagte, dass die Erstbeklagte ermächtigt war, die Mängelrügen für ihn entgegenzunehmen (vgl. bezüglich der nachträglichen Genehmigung von Vertretungshandlungen, Art. 38 Abs. 1 OR ), weshalb es sich erübrigt zu prüfen, ob unabhängig von einem Gesellschaftsverhältnis eine Vollmacht erteilt wurde, wie dies das Obergericht annahm.</w:t>
      </w:r>
    </w:p>
    <w:p>
      <w:r>
        <w:rPr>
          <w:b/>
        </w:rPr>
        <w:t>E. 4</w:t>
      </w:r>
    </w:p>
    <w:p>
      <w:r>
        <w:t>In seinem ersten Nebenstandpunkt macht der Zweitbeklagte geltend, gemäss dem Grundstückkaufvertrag vom 22. Juni 1988 hafte die Verkäuferschaft den Käufern für Mängel "im Rahmen ihrer mit den Unternehmern, dem Architekten und dem Ingenieur abgeschlossenen Werk-, Architektur- und Ingenieurverträgen". Eine weitergehende Sach- und Rechtsgewährleistung aus Kaufvertragsrecht der Verkäuferschaft gegenüber der Käuferschaft sei ausdrücklich wegbedungen. Der Zweitbeklagte habe vor der Vorinstanz Abklärungen verlangt, in welchem Rahmen er auf die Erstbeklagte bzw. auf deren Subunternehmer wird Rückgriff nehmen können. Nur in diesem Umfang sei der Zweitbeklagte gegenüber den Käufern haftpflichtig. Das Obergericht sei auf diese Einrede und auf die entsprechenden Beweisanträge nicht eingetreten und habe damit Art. 8 ZGB verletzt. So habe der Zweitbeklagte Beweisanträge bezüglich der Mangelhaftigkeit der von der Fear Holzbau AG ausgeführten Arbeiten bzw. ihrer Nachbesserungen verlangt. Die Vorinstanz habe sich damit nur insoweit auseinandergesetzt, als sie geprüft habe, ob die Mängel auf Arbeiten zurückzuführen seien, welche die Käufer erst nach dem Kauf hätten ausführen lassen. Ob ein Werkmangel vorliege, d.h. eine Abweichung des Werkes vom Vertrag zwischen der Erstbeklagten und dem ausführenden Bauunternehmer, sei nicht geprüft worden. a) Nach der Rechtsprechung ist Art. 8 ZGB unter anderem dann verletzt, wenn der Richter taugliche und formgültig beantragte Beweise zu rechtserheblichen Tatsachen nicht abnimmt, obwohl er die entsprechenden Sachvorbringen weder als bewiesen noch als widerlegt erachtet. Die Bestimmung schreibt dem Richter hingegen nicht vor, mit welchen Mitteln er den Sachverhalt abzuklären und wie er das Ergebnis seiner Abklärungen zu würdigen habe. Sie verbietet ihm auch nicht, angebotene Beweise vorweg zu würdigen und gestützt darauf auf ihre Abnahme zu verzichten ( BGE 115 II 450 E. b mit Hinweisen). Auf diese Weise ist das Obergericht im vorliegenden Fall vorgegangen, indem es zum Teil gestützt auf die Anerkennung durch den Zweitbeklagten und zum Teil nach erfolgter Beweiswürdigung annahm, es sei erwiesen, dass die von der Fear AG vor dem Abschluss des Kaufvertrages abgeschlossenen Arbeiten mangelhaft gewesen seien und die von dieser Firma ausgeführten Nachbesserungen die Mängel nicht beheben konnten. Dabei ging das Obergericht implizit davon aus, dass die Fear AG den mit der Erstbeklagten abgeschlossenen Werkvertrag nicht korrekt erfüllte. Damit hat das Obergericht auf Grund antizipierter Beweiswürdigung auf die Einholung weiterer Beweise verzichtet, weshalb eine Verletzung von Art. 8 ZGB zu verneinen ist.</w:t>
      </w:r>
    </w:p>
    <w:p>
      <w:r>
        <w:rPr>
          <w:b/>
        </w:rPr>
        <w:t>E. 5</w:t>
      </w:r>
    </w:p>
    <w:p>
      <w:r>
        <w:t>In seinem zweiten Nebenstandpunkt macht der Zweitbeklagte geltend, wenn er den Klägern für Mängel hafte, dann nur deshalb, weil er und die Erstbeklagte eine einfache Gesellschaft gebildet hätten und aus diesem Grund den Klägern für Mängel solidarisch haften würden. Auf diese Rüge kann nicht eingetreten werden, weil der Zweitbeklagte nicht legitimiert ist, die Haftung der Erstbeklagten gegenüber den Klägern geltend zu machen (vgl. E. 1hievor).</w:t>
      </w:r>
    </w:p>
    <w:p>
      <w:r>
        <w:rPr>
          <w:b/>
        </w:rPr>
        <w:t>E. 6</w:t>
      </w:r>
    </w:p>
    <w:p>
      <w:r>
        <w:t>Nach dem Gesagten ist die Berufung abzuweisen, soweit darauf einzutreten ist. Bei diesem Verfahrensausgang wird der Zweitbeklagte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