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4C.73/2003 vom 27. Mai 2003</w:t>
      </w:r>
    </w:p>
    <w:p>
      <w:r>
        <w:t>Bundesgericht, 2003-05-27, FR</w:t>
      </w:r>
    </w:p>
    <w:p>
      <w:r>
        <w:rPr>
          <w:b/>
        </w:rPr>
        <w:t xml:space="preserve">Quelle: </w:t>
      </w:r>
      <w:r>
        <w:t>https://mcp.opencaselaw.ch/entscheid/bger_4C.73_2003</w:t>
      </w:r>
    </w:p>
    <w:p>
      <w:r>
        <w:t>FR: TF 4C.73/2003 du 27 mai 2003</w:t>
      </w:r>
    </w:p>
    <w:p>
      <w:r>
        <w:t>IT: TF 4C.73/2003 del 27 maggio 2003</w:t>
      </w:r>
    </w:p>
    <w:p>
      <w:pPr>
        <w:pStyle w:val="Heading2"/>
      </w:pPr>
      <w:r>
        <w:t>Regeste</w:t>
      </w:r>
    </w:p>
    <w:p>
      <w:r>
        <w:t>Droit des contrats</w:t>
      </w:r>
    </w:p>
    <w:p>
      <w:pPr>
        <w:pStyle w:val="Heading2"/>
      </w:pPr>
      <w:r>
        <w:t>Erwägungen</w:t>
      </w:r>
    </w:p>
    <w:p>
      <w:r>
        <w:rPr>
          <w:b/>
        </w:rPr>
        <w:t>E. 1</w:t>
      </w:r>
    </w:p>
    <w:p>
      <w:r>
        <w:t>Interjeté par la partie qui a succombé dans ses conclusions condamnatoires et dirigé contre un jugement final rendu en dernière instance cantonale par un tribunal supérieur ( art. 48 al. 1 OJ ) sur une contestation civile dont la valeur litigieuse atteint le seuil de 8'000 fr. ( art. 46 OJ ), le présent recours est en principe recevable; en outre, il a été déposé en temps utile ( art. 54 al. 1 OJ ) et dans les formes requises ( art. 55 OJ ). Le recours en réforme est ouvert pour violation du droit fédéral ( art. 43 al. 1 OJ ). En revanche, il ne permet pas d'invoquer la violation directe d'un droit de rang constitutionnel (art. 43 al. 1, 2e phrase OJ) ou la violation du droit cantonal ( ATF 127 III 248 consid. 2c). 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et régulièrement allégués ( art. 64 OJ ). Dans la mesure où la partie demanderesse présente un état de fait qui s'écarte de celui contenu dans la décision attaquée, sans se prévaloir avec précision de l'une des exceptions qui viennent d'être rappelées, il n'est pas possible d'en tenir compte. Il ne peut être présenté de griefs contre les constatations de fait, ni de faits ou de moyens de preuve nouveaux ( art. 55 al. 1 let . c OJ). Le recours en réforme n'est donc pas ouvert pour critiquer l'appréciation des preuves et les constatations de fait qui en découlent. La demanderesse ne peut ainsi pas rediscuter les faits retenus par la Cour civile II, notamment en ce qui concerne l'appréciation du témoignage de l'ancien président de la commune. Au demeurant, le grief, soulevé à cet égard, de violation de l' art. 8 CC est irrecevable, puisque cette disposition ne permet pas de corriger l'appréciation des preuves à laquelle a procédé la juridiction cantonale ( ATF 128 III 22 consid. 2d et les arrêts cités). Dans son examen du recours, le Tribunal fédéral ne peut aller au-delà des conclusions des parties, lesquelles ne peuvent en prendre de nouvelles ( art. 55 al. 1 let. b OJ ); en revanche, il n'est lié ni par les motifs que les parties invoquent ( art. 63 al. 1 OJ ), ni par l'argumentation juridique de la cour cantonale ( art. 63 al. 3 OJ ; ATF 128 III 22 consid. 2e/cc in fine). Il peut donc admettre un recours pour d'autres motifs que ceux invoqués par la partie demanderesse et peut également rejeter un recours en adoptant une autre argumentation juridique que celle retenue par la cour cantonale ( ATF 127 III 248 consid. 2c et les arrêts cités).</w:t>
      </w:r>
    </w:p>
    <w:p>
      <w:r>
        <w:rPr>
          <w:b/>
        </w:rPr>
        <w:t>E. 2</w:t>
      </w:r>
    </w:p>
    <w:p>
      <w:r>
        <w:t>La question litigieuse est celle de l'interprétation de l'art. II/4 de la promesse de vente et d'achat et pacte d'emption, du 19 octobre 1991, afin de connaître les éléments du prix de vente et de savoir plus particulièrement si la prise en charge des "impôts découlant de cette opération" faisait partie de ce prix.</w:t>
      </w:r>
    </w:p>
    <w:p>
      <w:r>
        <w:rPr>
          <w:b/>
        </w:rPr>
        <w:t>E. 2.1</w:t>
      </w:r>
    </w:p>
    <w:p>
      <w:r>
        <w:t>Face à un litige sur l'interprétation de clauses contractuelles, le juge doit tout d'abord s'efforcer de déterminer la commune et réelle intention des parties, en procédant à l'interprétation dite subjective, dont le résultat relève des constatations de fait qui lient le Tribunal fédéral. Si la volonté réelle des parties ne peut pas être établie ou si elle est divergente, le juge doit recourir à l'interprétation objective, fondée sur la théorie de la confiance. L'application du principe de la confiance est une question de droit que le Tribunal fédéral peut examiner librement dans le cadre du recours en réforme. Toutefois, pour trancher cette question, il faut s'appuyer sur le contenu des manifestations de volonté et sur les circonstances, qui relèvent du fait ( ATF 129 III 118 consid. 2.5 et les arrêts cités). L'interprétation subjective a la priorité sur l'interprétation objective ( ATF 125 III 305 consid. 2b p. 308; 121 III 118 consid. 4b/aa p. 123 et les références).</w:t>
      </w:r>
    </w:p>
    <w:p>
      <w:r>
        <w:rPr>
          <w:b/>
        </w:rPr>
        <w:t>E. 2.2</w:t>
      </w:r>
    </w:p>
    <w:p>
      <w:r>
        <w:t>Dans le cas particulier, la cour cantonale, procédant à l'appréciation des preuves, a acquis la conviction que la prise en charge des impôts, selon la volonté réelle des cocontractants, ne faisait pas partie du prix de vente. Il s'agit là d'une constatation de fait qui lie la juridiction fédérale de réforme. Les juges cantonaux en ont déduit que cette prise en charge ne pouvait dès lors porter que sur "les impôts réellement décidés par les autorités fiscales compétentes et effectivement facturés". A considérer la systématique du jugement, cette déduction semble devoir être rattachée à l'interprétation subjective du contrat, auquel cas elle serait soustraite à l'examen du Tribunal fédéral dans la procédure du recours en réforme. Cependant, à supposer que l'on soit en présence d'une conclusion tirée de l'interprétation objective du contrat, on ne voit pas en quoi cette conclusion violerait les principes susmentionnés relatifs à l'interprétation des manifestations de volonté. En effet, l'interprétation qui sous-tend pareille conclusion est conforme au sens des mots ordinaires utilisés dans la clause litigieuse et l'on ne peut inférer de celle-ci que la défenderesse se serait engagée à payer immédiatement un impôt théorique. Dès lors que la demanderesse ne prétend pas que le jugement attaqué aurait pour conséquence que la défenderesse ne lui rembourse pas la totalité des impôts réellement décidés et effectivement facturés, le rejet de sa prétention supplémentaire ne viole pas le droit fédéral. Dans la mesure où la demanderesse reproche à la cour cantonale d'avoir retenu un prix d'achat initial de 1'200'000 fr., d'avoir fait des déductions sur la base des prix et de ne pas avoir donné à certaines déclarations la portée qu'elle-même leur prête, elle remet en cause l'appréciation des preuves et l'établissement des faits, ce qui n'est pas admissible dans un recours en réforme. Il ne suffit pas de parler d'"appréciation juridique" pour changer la nature de tels griefs. Comme les premiers juges sont parvenus à une conviction, à la suite de leur appréciation des preuves, l' art. 8 CC n'a pas été violé puisqu'il ne dicte pas sur quelles bases le juge peut forger sa conviction ( ATF 128 III 22 consid. 2d p. 25; 127 III 248 consid. 3a, 519 consid. 2a). Par une interprétation subjective soustraite à l'examen de la juridiction fédérale de réforme, la cour cantonale est arrivée à la conclusion que la prise en charge des impôts constituait un engagement accessoire ne faisant pas partie de l'accord touchant le prix de vente. Par une interprétation de même nature ou par une interprétation objective conforme au droit fédéral, elle a jugé que cette prise en charge ne portait que sur les impôts réellement décidés et effectivement facturés. Dans ces conditions, il ne saurait être question d'une violation de sa part des art. 1er, 18 et 184 CO .</w:t>
      </w:r>
    </w:p>
    <w:p>
      <w:r>
        <w:rPr>
          <w:b/>
        </w:rPr>
        <w:t>E. 3</w:t>
      </w:r>
    </w:p>
    <w:p>
      <w:r>
        <w:t>La demanderesse soutient que l'éventuelle disproportion entre le prix stipulé et la valeur de la chose vendue n'aurait pu être prise en considération que dans le cadre clairement circonscrit de la lésion ( art. 21 CO ). Aussi la solution adoptée par les premiers juges reviendrait-elle à réduire le prix de vente en dehors des conditions strictes d'application de cette disposition. Le moyen est dénué de fondement. L'argument tiré de la lésion n'aurait eu de sens que si la cour cantonale avait admis que les parties étaient convenues d'un impôt théorique et qu'elle avait corrigé le déséquilibre des prestations échangées en diminuant le prix de vente sans que les conditions d'application de l' art. 21 CO fussent réunies.</w:t>
      </w:r>
    </w:p>
    <w:p>
      <w:r>
        <w:rPr>
          <w:b/>
        </w:rPr>
        <w:t>E. 4</w:t>
      </w:r>
    </w:p>
    <w:p>
      <w:r>
        <w:t>Il en va de même, enfin, s'agissant du moyen pris de la compensation ( art. 120 CO ). Ce n'est que dans l'hypothèse - écartée plus haut - où la défenderesse aurait dû prendre en charge un impôt théorique que l'on pourrait se demander si elle pouvait exciper de la compensation avant d'avoir invoqué valablement sa prétention (notification fiscale). Le moyen en question est en conséquence voué à l'échec.</w:t>
      </w:r>
    </w:p>
    <w:p>
      <w:r>
        <w:rPr>
          <w:b/>
        </w:rPr>
        <w:t>E. 5</w:t>
      </w:r>
    </w:p>
    <w:p>
      <w:r>
        <w:t>La demanderesse, qui succombe, devra payer les frais de la procédure fédérale ( art. 156 al. 1 OJ ) et verser des dépens à la défenderesse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