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4C.66/2007 vom 9. Januar 2008</w:t>
      </w:r>
    </w:p>
    <w:p>
      <w:r>
        <w:t>Bundesgericht, 2008-01-09, FR</w:t>
      </w:r>
    </w:p>
    <w:p>
      <w:r>
        <w:rPr>
          <w:b/>
        </w:rPr>
        <w:t xml:space="preserve">Quelle: </w:t>
      </w:r>
      <w:r>
        <w:t>https://mcp.opencaselaw.ch/entscheid/bger_4C.66_2007</w:t>
      </w:r>
    </w:p>
    <w:p>
      <w:r>
        <w:t>FR: TF 4C.66/2007 du 9 janvier 2008</w:t>
      </w:r>
    </w:p>
    <w:p>
      <w:r>
        <w:t>IT: TF 4C.66/2007 del 9 gennaio 2008</w:t>
      </w:r>
    </w:p>
    <w:p>
      <w:pPr>
        <w:pStyle w:val="Heading2"/>
      </w:pPr>
      <w:r>
        <w:t>Erwägungen</w:t>
      </w:r>
    </w:p>
    <w:p>
      <w:r>
        <w:rPr>
          <w:b/>
        </w:rPr>
        <w:t>E. 1.1</w:t>
      </w:r>
    </w:p>
    <w:p>
      <w:r>
        <w:t>La LTF ne s'applique aux procédures de recours devant le Tribunal fédéral que si l'acte attaqué a été rendu après son entrée en vigueur ( art. 132 al. 1 LTF ). L' art. 100 al. 6 LTF prévoit en outre que si la décision d'un tribunal cantonal supérieur peut être déférée à une autre autorité judiciaire cantonale pour une partie seulement des griefs visés aux art. 95 à 98 LTF, le délai de recours commence à courir à compter de la notification de la décision de cette autorité. Cette disposition permet ainsi au recourant, lorsqu'un recours cantonal contre une décision d'un tribunal supérieur (tel que la Cour civile du Tribunal cantonal du canton de Vaud) n'est ouvert que pour une partie des griefs pouvant être soumis au Tribunal fédéral selon les art. 95 à 98 LTF (comme c'est le cas du recours en nullité vaudois contre un jugement de la Cour civile selon l' art. 444 al. 1 ch. 3 CPC /VD), d'attendre la notification de l'arrêt sur recours cantonal pour attaquer en même temps la première décision (arrêt 4C.444/2006 et 4A_182/2007 du 28 septembre 2007, consid. 1.2).</w:t>
      </w:r>
    </w:p>
    <w:p>
      <w:r>
        <w:t>En l'espèce, l'arrêt de la Chambre des recours a été prononcé après l'entrée en vigueur de la LTF, le 1er janvier 2007. Le recours en matière civile ( art. 72 ss LTF ) est par conséquent ouvert contre cette décision. Quant au jugement de la Cour civile, il a été rendu avant l'entrée en vigueur de la LTF. Il pouvait faire l'objet d'un recours en réforme selon l'OJ, mais également d'un recours en matière civile dirigé également contre la décision de la Chambre des recours, selon la jurisprudence rendue en application de l' art. 100 al. 6 LTF (arrêt 5A_86/2007 du 3 septembre 2007 destiné à la publication, consid. 1.3).</w:t>
      </w:r>
    </w:p>
    <w:p>
      <w:r>
        <w:rPr>
          <w:b/>
        </w:rPr>
        <w:t>E. 1.2</w:t>
      </w:r>
    </w:p>
    <w:p>
      <w:r>
        <w:t>Contre le jugement de la Cour civile, le demandeur a exercé à la fois un recours en réforme et un recours en matière civile dirigé également contre l'arrêt de la Chambre des recours. Dans ce second mémoire, il a notamment repris les griefs fondés sur le droit fédéral formulés dans le recours en réforme. Dans une situation de ce genre, il convient, par souci de simplification, de ne traiter que le recours en matière civile et de déclarer sans objet le recours en réforme, qui fait double emploi. C'est le lieu de préciser que cette solution n'emporte aucun désavantage pour le recourant, dont les arguments seront examinés aussi librement que dans une procédure de réforme régie par l'OJ.</w:t>
      </w:r>
    </w:p>
    <w:p>
      <w:r>
        <w:rPr>
          <w:b/>
        </w:rPr>
        <w:t>E. 1.3</w:t>
      </w:r>
    </w:p>
    <w:p>
      <w:r>
        <w:t>Au surplus, portant sur une affaire pécuniaire dont la valeur litigieuse atteint le seuil de 30'000 fr. ( art. 74 al. 1 let. b LTF ), le recours est en principe recevable, puisqu'il a été déposé en temps utile ( art. 100 al. 1 LTF ) et dans les formes prévues par la loi ( art. 42 LTF ).</w:t>
      </w:r>
    </w:p>
    <w:p>
      <w:r>
        <w:rPr>
          <w:b/>
        </w:rPr>
        <w:t>E. 2</w:t>
      </w:r>
    </w:p>
    <w:p>
      <w:r>
        <w:t>Devant la Chambre des recours, le demandeur a soulevé le grief d'appréciation arbitraire des preuves. Il faisait valoir que la Cour civile avait versé dans l'arbitraire en construisant son raisonnement juridique à propos du consentement éclairé, subsidiairement du consentement hypothétique du patient, sur la base d'un état de fait «imaginaire», ne correspondant pas aux preuves apportées, ni aux constatations des experts, ni mêmes aux allégations non prouvées des défendeurs. Devant la cour de céans, le demandeur soutient que la Chambre des recours serait à son tour tombée dans l'arbitraire en refusant d'admettre que la Cour civile s'était livrée à une appréciation arbitraire des preuves. La Chambre des recours aurait également commis une violation de l' art. 9 Cst. , voire de l' art. 29 al. 2 Cst. , en considérant que, dans son recours en nullité, le demandeur n'avait pas mis en cause les faits établis par la Cour civile, ni prétendu que certains éléments allégués et prouvés n'avaient arbitrairement pas été pris en compte.</w:t>
      </w:r>
    </w:p>
    <w:p>
      <w:r>
        <w:rPr>
          <w:b/>
        </w:rPr>
        <w:t>E. 2.1</w:t>
      </w:r>
    </w:p>
    <w:p>
      <w:r>
        <w:t>Le Tribunal fédéral n'examine s'il y a violation d'un droit fondamental, comme l'interdiction de l'arbitraire ( art. 9 Cst. ) ou le droit d'être entendu ( art. 29 al. 2 Cst. ), que lorsque le recourant a invoqué et motivé ce grief ( art. 106 al. 2 LTF ). Les exigences en matière de motivation correspondent à celles qui étaient prévues à l' art. 90 al. 1 let. b OJ pour le recours de droit public (Message concernant la révision totale de l'organisation judiciaire fédérale du 28 février 2001, in FF 2001, p. 4142; ATF 133 IV 286 consid. 1.4). L'acte de recours doit donc contenir, sous peine d'irrecevabilité, un exposé succinct des droits constitutionnels violés, précisant en quoi consiste la violation. Seuls les griefs expressément soulevés et exposés de façon claire et détaillée sont examinés; en particulier, il n'est pas entré en matière sur des critiques de type appellatoire portant sur l'état de fait ou sur l'appréciation des preuves (cf. ATF 130 I 258 consid. 1.3; 123 II 552 consid. 4d).</w:t>
      </w:r>
    </w:p>
    <w:p>
      <w:r>
        <w:rPr>
          <w:b/>
        </w:rPr>
        <w:t>E. 2.2</w:t>
      </w:r>
    </w:p>
    <w:p>
      <w:r>
        <w:t>En l'espèce, la critique du demandeur ne répond pas à ces exigences de motivation. Elle consiste à invoquer l'arbitraire de manière toute générale, sans que le recourant ne précise une seule fois quels sont les faits «imaginaires» sur lesquels la Cour civile se serait fondée pour admettre le consentement éclairé du patient ou, en tout cas, son consentement hypothétique. Le recourant se contente également de reprendre des passages de son recours en nullité, censés démontrer qu'il avait contesté devant la Chambre des recours «le fait que la Cour civile n'avait pas raisonné sur la base de l'état de fait dûment établi et qu'elle avait raisonné sur la base d'un état de fait non établi». Le grief, fondé sur des considérations très générales, manque singulièrement de clarté et se révèle, là aussi, irrecevable.</w:t>
      </w:r>
    </w:p>
    <w:p>
      <w:r>
        <w:rPr>
          <w:b/>
        </w:rPr>
        <w:t>E. 3</w:t>
      </w:r>
    </w:p>
    <w:p>
      <w:r>
        <w:t>Invoquant l' art. 29 al. 2 Cst. , le demandeur reproche à la Chambre des recours d'avoir violé son droit à la preuve en approuvant le rejet de sa requête de réforme par le juge instructeur de la Cour civile. Il considère qu'il aurait dû être autorisé à offrir une preuve régulière (une troisième expertise par un gastro-entérologue) sur des faits allégués pertinents (le défaut de certains examens diagnostiques et l'inutilité d'une intervention chirurgicale en date du 10 avril 1995). Le recourant développe la même critique sous l'angle de l' art. 8 CC dans un grief dirigé contre le jugement de la Cour civile.</w:t>
      </w:r>
    </w:p>
    <w:p>
      <w:r>
        <w:rPr>
          <w:b/>
        </w:rPr>
        <w:t>E. 3.1</w:t>
      </w:r>
    </w:p>
    <w:p>
      <w:r>
        <w:t>La jurisprudence a déduit du droit d'être entendu ( art. 29 al. 2 Cst. ), en particulier, le droit pour le justiciable de fournir des preuves quant aux faits de nature à influer sur le sort de la décision (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w:t>
      </w:r>
    </w:p>
    <w:p>
      <w:r>
        <w:t>Pour sa part, l' art. 8 CC garantit également le droit à la preuve et à la contre-preuve ( ATF 129 III 18 consid. 2.6). Le juge enfreint l' art. 8 CC s'il refuse d'administrer une preuve offerte régulièrement, dans les formes et les délais prévus par la loi de procédure, et portant sur un fait pertinent pour l'appréciation juridique de la cause ( ATF 133 III 189 consid. 5.2.2 p. 195, 295 consid. 7.1 p. 299 et les arrêts cités). Il n'y a pas de violation de l' art. 8 CC si une mesure probatoire est refusée à la suite d'une appréciation anticipée des preuves ( ATF 129 III 18 consid. 2.6; 127 III 519 consid. 2a). En d'autres termes, l' art. 8 CC n'empêche pas le juge de refuser d'administrer une preuve lorsqu'il est d'avis que le moyen requis ne peut fournir la preuve attendue ou ne peut modifier sa conviction fondée sur les preuves déjà administrées.</w:t>
      </w:r>
    </w:p>
    <w:p>
      <w:r>
        <w:t>Les prétentions découlant des art. 29 al. 2 Cst. et 8 CC se recoupent. Dans le recours en matière civile, qui permet d'invoquer la violation du droit fédéral ( art. 95 let. a LTF ), y compris les droits constitutionnels ( ATF 133 III 446 consid. 3.1), il y a lieu de dénoncer la violation du droit à la preuve selon l' art. 8 CC , et non sur la base de l' art. 29 al. 2 Cst. , lorsque, comme en l'espèce, le droit d'alléguer des faits et d'offrir des moyens de preuve pertinents est invoqué en relation avec un droit subjectif privé découlant d'une norme de droit matériel fédéral (arrêt 5A_403/2007 du 25 octobre 2007, consid. 3.1). Le grief soulevé par le recourant sera dès lors examiné sous l'angle de l' art. 8 CC .</w:t>
      </w:r>
    </w:p>
    <w:p>
      <w:r>
        <w:t>C'est le lieu de préciser que, selon une jurisprudence constante qui demeure valable sous le nouveau droit de procédure fédéral (cf. ATF 133 IV 286 consid. 1.4 p. 287), le recourant qui entend se plaindre d'une violation de l' art. 8 CC doit motiver précisément son grief, en indiquant le moyen de preuve pertinent qu'il a régulièrement invoqué et dont l'administration aurait été refusée à tort (entre autres, ATF 132 III 651 consid. 6 p. 654).</w:t>
      </w:r>
    </w:p>
    <w:p>
      <w:r>
        <w:rPr>
          <w:b/>
        </w:rPr>
        <w:t>E. 3.2</w:t>
      </w:r>
    </w:p>
    <w:p>
      <w:r>
        <w:t>Le demandeur entendait démontrer, par une troisième expertise, qu'il aurait pu être soigné autrement que par une intervention chirurgicale le 10 avril 1995.</w:t>
      </w:r>
    </w:p>
    <w:p>
      <w:r>
        <w:t>La Cour civile a nié une erreur médicale de la part de l'un ou l'autre des défendeurs. Elle a fait siennes les constatations concordantes des deux experts judiciaires. Sur la question d'une alternative au traitement chirurgical, les conclusions des experts reprises dans le jugement attaqué sont claires: il était urgent de décompresser le côlon; l'option chirurgicale a été retenue sur la base d'arguments cliniques irréfutables; une temporisation et le recours uniquement à un traitement médical conservateur, sans geste chirurgical, auraient pu conduire à de graves complications (expert G.________). Face à la situation clinique du demandeur, l'intervention chirurgicale du 10 avril 1995 était justifiée, judicieuse et pratiquée en temps voulu; la laparoscopie exploratrice était une mesure parfaitement adéquate en cas de suspicion d'occlusion; la colostomie de décharge était justifiée; il n'y a pas eu d'erreur de jugement, d'appréciation ou de technique lors de la première opération (expert H.________).</w:t>
      </w:r>
    </w:p>
    <w:p>
      <w:r>
        <w:t>Sur la base des deux expertises déjà ordonnées, la Cour civile disposait des éléments lui permettant de retenir la nécessité de pratiquer une intervention chirurgicale sur la personne du demandeur le 10 avril 1995, sans qu'une troisième expertise, fût-elle confiée à un gastro-entérologue, eût pu changer quoi que ce soit. Certes, la cour cantonale aurait pu préciser, dans les considérants de son jugement, qu'aucune erreur de diagnostic ou de traitement n'était retenue en l'espèce, au lieu de s'en tenir à la constatation générale de l'inexistence «d'une faute professionnelle des défendeurs pendant et après l'intervention chirurgicale». Il n'empêche que la requête de réforme du demandeur a été rejetée sur la base d'une appréciation anticipée des preuves et qu'il n'y a là aucune violation de l' art. 8 CC .</w:t>
      </w:r>
    </w:p>
    <w:p>
      <w:r>
        <w:rPr>
          <w:b/>
        </w:rPr>
        <w:t>E. 4</w:t>
      </w:r>
    </w:p>
    <w:p>
      <w:r>
        <w:t>Selon le demandeur, la Cour civile a méconnu les principes applicables à la responsabilité contractuelle du médecin, en se référant à des expertises niant une faute professionnelle grave du défendeur B.________. Or, une faute simple suffit pour engager la responsabilité du médecin, hypothèse qui serait donc réalisée en l'espèce.</w:t>
      </w:r>
    </w:p>
    <w:p>
      <w:r>
        <w:rPr>
          <w:b/>
        </w:rPr>
        <w:t>E. 4.1</w:t>
      </w:r>
    </w:p>
    <w:p>
      <w:r>
        <w:t>En sa qualité de mandataire, le médecin répond de la bonne et fidèle exécution du mandat.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 art. 97 al. 1 CO ). Comme n'importe quel autre mandataire, le médecin répond en principe de toute faute; sa responsabilité n'est pas limitée aux seules fautes graves. Lorsqu'une violation des règles de l'art médical est établie, il appartient au médecin de prouver qu'il n'a pas commis de faute (cf. art. 97 al. 1 CO ) ( ATF 133 III 121 consid. 3.1 p. 124 et les arrêts cités).</w:t>
      </w:r>
    </w:p>
    <w:p>
      <w:r>
        <w:rPr>
          <w:b/>
        </w:rPr>
        <w:t>E. 4.2</w:t>
      </w:r>
    </w:p>
    <w:p>
      <w:r>
        <w:t>La Cour civile s'est fondée sur les conclusions des experts judiciaires pour nier toute «faute professionnelle» de la part des défendeurs. En d'autres termes, selon le jugement attaqué, une violation des règles de l'art n'a pas été établie. A ce stade du raisonnement, il ne s'agissait aucunement de qualifier la gravité d'une éventuelle faute du défendeur B.________, mais de déterminer s'il y avait eu violation du devoir de diligence. Dans ce contexte, il est sans importance que, dans un passage de son rapport, le professeur G.________ ait affirmé que la colostomie pratiquée le 10 avril 1995 avait été un échec du fait de la nécrose, mais qu'elle ne résultait pas d'une «faute professionnelle grave», même si la formule n'est pas des plus heureuses. Du reste, il ressort clairement des deux expertises, reprises par la cour cantonale, qu'aucun des défendeurs n'a méconnu les règles de l'art médical au cours de l'intervention du 10 avril 1995.</w:t>
      </w:r>
    </w:p>
    <w:p>
      <w:r>
        <w:t>Le moyen est manifestement mal fondé.</w:t>
      </w:r>
    </w:p>
    <w:p>
      <w:r>
        <w:rPr>
          <w:b/>
        </w:rPr>
        <w:t>E. 5</w:t>
      </w:r>
    </w:p>
    <w:p>
      <w:r>
        <w:t>Invoquant l' art. 8 CC , le demandeur fait valoir que la Cour civile ne disposait pas des éléments lui permettant d'admettre, d'une part, que le patient avait consenti à l'intervention litigieuse en connaissance de cause et, d'autre part, qu'il aurait accepté l'opération de toute manière.</w:t>
      </w:r>
    </w:p>
    <w:p>
      <w:r>
        <w:rPr>
          <w:b/>
        </w:rPr>
        <w:t>E. 5.1</w:t>
      </w:r>
    </w:p>
    <w:p>
      <w:r>
        <w:t>Les notions de consentement éclairé et de consentement hypothétique ainsi que les principes applicables en la matière ont fait l'objet d'un rappel récent dans la jurisprudence ( ATF 133 III 121 consid. 4.1 p. 128 ss et les arrêts cités).</w:t>
      </w:r>
    </w:p>
    <w:p>
      <w:r>
        <w:t>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comme le confirment la doctrine et une jurisprudence constante.</w:t>
      </w:r>
    </w:p>
    <w:p>
      <w:r>
        <w:t>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S'il s'agit d'une intervention particulièrement délicate quant à son exécution ou à ses conséquences, le patient a droit à une information claire et complète à ce sujet. C'est au médecin qu'il appartient d'établir qu'il a suffisamment renseigné le patient et obtenu le consentement éclairé de ce dernier préalablement à l'intervention.</w:t>
      </w:r>
    </w:p>
    <w:p>
      <w:r>
        <w:t>En l'absence de consentement éclairé, le praticien peut soulever le moyen du consentement hypothétique du patient. Il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w:t>
      </w:r>
    </w:p>
    <w:p>
      <w:r>
        <w:t>En principe, il ne faut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w:t>
      </w:r>
    </w:p>
    <w:p>
      <w:r>
        <w:rPr>
          <w:b/>
        </w:rPr>
        <w:t>E. 5.2</w:t>
      </w:r>
    </w:p>
    <w:p>
      <w:r>
        <w:t>L'intervention subie par le demandeur le 10 avril 1995 a consisté tout d'abord en une laparoscopie exploratrice, puis en une laparotomie, une appendicectomie et une colostomie transverse droite. Il ressort des faits établis par l'autorité cantonale que l'opération a été pratiquée en urgence et que le demandeur a sollicité la laparoscopie. Pour le reste, le jugement attaqué ne contient aucun élément sur l'information fournie au patient avant l'intervention. Certes, la cour cantonale a constaté que le défendeur C.________ avait interrogé le patient avant l'intervention; elle en déduit qu'«il est plus que certain que cet entretien a eu trait notamment à l'opération à venir.» Mais on n'en sait pas plus. On ignore en particulier si, à cette occasion, le médecin a évoqué avec le patient les actes opératoires envisageables après l'intervention exploratoire et les risques qui leur auraient été liés. Sur ce point, il est vrai que le jugement attaqué ne mentionne nulle part que l'opération pratiquée le 10 avril 1995 présentait des risques spécifiques importants; en l'espèce, le risque de nécrose s'est réalisé, mais il s'agit, selon l'un des experts judiciaires, d'un risque classique de la chirurgie d'urgence, ce que le recourant, en tant que médecin et chirurgien, ne pouvait ignorer.</w:t>
      </w:r>
    </w:p>
    <w:p>
      <w:r>
        <w:t>En conclusion, seule la laparoscopie, requise par le patient lui-même chirurgien, a été pratiquée avec le consentement éclairé du demandeur. En revanche, il ne ressort pas du jugement attaqué que le demandeur ait reçu des renseignements sur les actes chirurgicaux qui ont suivi la laparoscopie. Or, avant le début de l'intervention, des options chirurgicales, dépendant du résultat de l'examen exploratoire, devaient nécessairement être envisagées; il est par conséquent délicat d'affirmer que les actes chirurgicaux, tels la laparotomie, l'appendicectomie et la colostomie, se sont imposés, en quelque sorte par surprise, au fur et à mesure de l'opération. Cela étant, le patient présentait un risque de perforation du côlon. L'intervention s'est donc pratiquée en urgence de sorte qu'on peut se demander si les médecins n'étaient pas, exceptionnellement, déliés de leur devoir d'information. La question peut toutefois rester ouverte pour les raisons suivantes.</w:t>
      </w:r>
    </w:p>
    <w:p>
      <w:r>
        <w:t>La Cour civile a admis que, en tout état de cause, le demandeur aurait donné son consentement aux actes chirurgicaux entrepris à la suite de la laparoscopie. A cet égard, aucun élément du jugement attaqué ne laisse apparaître que le genre ou la gravité du risque encouru lors de l'intervention du 10 avril 1995 aurait nécessité un besoin accru d'information, empêchant d'emblée les défendeurs d'invoquer le moyen tiré du consentement hypothétique du patient. Par ailleurs, le demandeur n'a pas fait état de raisons personnelles qui l'auraient incité à refuser l'intervention s'il avait été dûment informé. Il convient dès lors de se demander si, d'un point de vue objectif, un patient sensé et raisonnable, placé dans la même situation que le demandeur, aurait accepté l'opération. La réponse est manifestement positive. Entré en urgence à la clinique, le patient souffrait. Selon les constatations des expertises judiciaires reprises dans le jugement attaqué, une intervention rapide de décompression s'imposait, car un risque de perforation du côlon existait; l'option chirurgicale était nécessaire, l'alternative médicamenteuse pouvant conduire à de graves complications. Dans ces conditions, force est de reconnaître que, même informé du déroulement exact de l'opération, le demandeur, pris comme une personne sensée, ne se serait pas opposé à l'intervention aujourd'hui litigieuse. C'est dès lors à bon droit que la Cour civile a admis le moyen tiré du consentement hypothétique du patient.</w:t>
      </w:r>
    </w:p>
    <w:p>
      <w:r>
        <w:rPr>
          <w:b/>
        </w:rPr>
        <w:t>E. 6</w:t>
      </w:r>
    </w:p>
    <w:p>
      <w:r>
        <w:t>Sur le vu de ce qui précède, le recours en matière civile sera rejeté dans la mesure où il est recevable.</w:t>
      </w:r>
    </w:p>
    <w:p>
      <w:r>
        <w:rPr>
          <w:b/>
        </w:rPr>
        <w:t>E. 7</w:t>
      </w:r>
    </w:p>
    <w:p>
      <w:r>
        <w:t>Etant donné le sort réservé aux recours, le recourant prendra à sa charge les frais judiciaires ( art. 156 al. 1 OJ ; art. 66 al. 1 et 3 LTF ); l'émolument relatif à la procédure de recours en réforme sera réduit (cf. art. 153a al. 1 OJ ).</w:t>
      </w:r>
    </w:p>
    <w:p>
      <w:r>
        <w:t>Par ailleurs, le recourant versera des dépens à chacun des intimés pour leur réponse commune dans chaque procédure de recours ( art. 159 al. 1 OJ ; art. 68 al. 1 et 2 LTF ). Le montant des indemnités tiendra compte du fait que la teneur de la réponse au recours en réforme a été intégralement reprise dans la réponse au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