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4C.64/2007 vom 7. November 2007</w:t>
      </w:r>
    </w:p>
    <w:p>
      <w:r>
        <w:t>Bundesgericht, 2007-11-07, DE</w:t>
      </w:r>
    </w:p>
    <w:p>
      <w:r>
        <w:rPr>
          <w:b/>
        </w:rPr>
        <w:t xml:space="preserve">Quelle: </w:t>
      </w:r>
      <w:r>
        <w:t>https://mcp.opencaselaw.ch/entscheid/bger_4C.64_2007</w:t>
      </w:r>
    </w:p>
    <w:p>
      <w:r>
        <w:t>FR: TF 4C.64/2007 du 7 novembre 2007</w:t>
      </w:r>
    </w:p>
    <w:p>
      <w:r>
        <w:t>IT: TF 4C.64/2007 del 7 novembre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130 III 102 E. 2.2 S. 106, 136 E. 1.4 S. 140, je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w:t>
      </w:r>
    </w:p>
    <w:p>
      <w:r>
        <w:t>Die Beklagte lässt in ihre Sachverhaltsdarstellung verschiedentlich Tatsachen einfliessen, die im angefochtenen Entscheid keine Stütze finden. Damit ist sie nicht zu hören.</w:t>
      </w:r>
    </w:p>
    <w:p>
      <w:r>
        <w:rPr>
          <w:b/>
        </w:rPr>
        <w:t>E. 3.1</w:t>
      </w:r>
    </w:p>
    <w:p>
      <w:r>
        <w:t>Nach dem angefochtenen Entscheid ist unbestritten, dass im Schreiben des Klägers vom 22. April 2004 zumindest teilweise der Grund der späteren Kündigung lag. Nach Auffassung der Vorinstanz stellte der Kläger in diesem Schreiben ausschliesslich Forderungen, zu denen er nach Treu und Glauben berechtigt war. Soweit diese zur Kündigung geführt haben, sei diese ungerechtfertigt und daher missbräuchlich. Dasselbe gelte, soweit das Gesuch um ein Zwischenzeugnis die Kündigung mitverursacht habe. Dass all diese berechtigten Ansprüche des Klägers für die Kündigung tatsächlich mitursächlich waren, ergibt sich nach Auffassung der Vorinstanz einerseits aus dem Kündigungsschreiben selbst und andererseits aus der geringen zeitlichen Distanz zwischen Anspruchserhebung und Kündigung. Diese Indizien lassen die Missbräuchlichkeit der Kündigung vermuten, wie die Vorinstanz festhält.</w:t>
      </w:r>
    </w:p>
    <w:p>
      <w:r>
        <w:rPr>
          <w:b/>
        </w:rPr>
        <w:t>E. 3.2</w:t>
      </w:r>
    </w:p>
    <w:p>
      <w:r>
        <w:t>Die Klägerin bringt vor, wenn die zeitliche Nähe für sich allein genüge, um den "Beweis" für die Missbräuchlichkeit der Kündigung zu erbringen, liefe dies auf blosse Glaubhaftmachung statt des bundesrechtlich verlangten Beweises der überwiegenden Wahrscheinlichkeit hinaus.</w:t>
      </w:r>
    </w:p>
    <w:p>
      <w:r>
        <w:rPr>
          <w:b/>
        </w:rPr>
        <w:t>E. 3.3</w:t>
      </w:r>
    </w:p>
    <w:p>
      <w:r>
        <w:t>Im Berufungsverfahren prüft das Bundesgericht frei, ob die Vorinstanz vom richtigen Beweismass ausgegangen ist. Ob der Beweis gemäss dem bundesrechtlich vorgegebenen Beweismass im konkreten Fall erbracht wurde, ist eine Frage der Beweiswürdigung (vgl. BGE 128 III 271 E. 2b/aa S. 275 ff.; Bundesgerichtsurteil 4C.225/2002 vom 7. Februar 2003 E. 2.1, publiziert in Pra 92/2003 Nr. 146 S. 786 f., je mit Hinweisen), welche das Bundesgericht im Berufungsverfahren nicht überprüfen kann ( BGE 127 III 73 E. 6a S. 81; 126 III 10 E. 2b S. 13; 119 II 84 E. 3 S. 85).</w:t>
      </w:r>
    </w:p>
    <w:p>
      <w:r>
        <w:rPr>
          <w:b/>
        </w:rPr>
        <w:t>E. 3.4</w:t>
      </w:r>
    </w:p>
    <w:p>
      <w:r>
        <w:t>Die Rüge, aufgrund der durch die Vorinstanz gewürdigten Beweismittel könne der Beweis bei Anwendung des richtigen Beweismasses nicht als erbracht gelten, läuft auf eine in der Berufung nicht zulässige Kritik an der Beweiswürdigung hinaus. Zudem hat die Vorinstanz nicht einzig auf die zeitliche Nähe, sondern zusätzlich auch auf den Inhalt des Kündigungsschreibens abgestellt. Sie hat sich demnach offensichtlich nicht mit einer blossen Glaubhaftmachung begnügt. Die Berufung ist insoweit unbegründet, soweit überhaupt darauf einzutreten ist.</w:t>
      </w:r>
    </w:p>
    <w:p>
      <w:r>
        <w:rPr>
          <w:b/>
        </w:rPr>
        <w:t>E. 4.1</w:t>
      </w:r>
    </w:p>
    <w:p>
      <w:r>
        <w:t>Die Beklagte hat im kantonalen Verfahren vorgebracht, sie habe die Kündigung ausgesprochen, weil der Kläger gegenüber der Office Managerin geäussert habe, mit diesem "Sauhund" (gemeint war B.________) arbeite er nicht zusammen, was er im Gespräch vom 26. April 2004 gegenüber dem Geschäftführer erneut bekräftigt und darüber hinaus erklärt habe, er sehe sich nach einer neuen Stelle um. Die Beklagte rügt in der Berufung, mit der Beweisauflage für diese Behauptung sei sie mit dem Haupt- statt mit dem Gegenbeweis belastet worden, was einen Verstoss gegen Art. 8 ZGB bedeute.</w:t>
      </w:r>
    </w:p>
    <w:p>
      <w:r>
        <w:rPr>
          <w:b/>
        </w:rPr>
        <w:t>E. 4.2</w:t>
      </w:r>
    </w:p>
    <w:p>
      <w:r>
        <w:t>Art. 8 ZGB gibt der beweispflichtigen Partei einen bundesrechtlichen Anspruch darauf, für rechtserhebliche Vorbringen zum Beweis zugelassen zu werden, wenn ihr Beweisantrag nach Form und Inhalt den Vorschriften des kantonalen Rechts entspricht ( BGE 133 III 295 E. 7.1 S. 299 mit Hinweisen). Nach der Rechtsprechung des Bundesgerichts gewährleistet Art. 8 ZGB ebenfalls das Recht zum Gegenbeweis, d.h. er gibt dem Gegner der beweisbelasteten Partei einen Anspruch darauf, zum Beweis von konkreten Umständen zugelassen zu werden, die beim Gericht Zweifel an der Richtigkeit der Gegenstand des Hauptbeweises bildenden Sachbehauptung wach halten und diesen dadurch vereiteln können ( BGE 130 III 321 E. 3.4 S. 326; 115 II 305 je mit Hinweisen).</w:t>
      </w:r>
    </w:p>
    <w:p>
      <w:r>
        <w:rPr>
          <w:b/>
        </w:rPr>
        <w:t>E. 4.3</w:t>
      </w:r>
    </w:p>
    <w:p>
      <w:r>
        <w:t>Zunächst erscheint fraglich, ob selbst bei gelungenem Nachweis der erwähnten Sachvorbringen die Kündigung als rechtmässig betrachtet werden müsste, wäre doch mit Blick auf den von der Beklagten selbst angeführten Kündigungsgrund des Schreibens des Klägers nach wie vor davon auszugehen, dass auch die darin erhobenen berechtigten Forderungen des Klägers massgeblich zum Entschluss der Beklagten, die Kündigung auszusprechen, beitrugen. Das genügt nach der Rechtsprechung, um diese als gegen Treu und Glauben verstossend auszuweisen (Urteil des Bundesgerichts 4C.27/1992 vom 30. Juni 1992, publ. in SJ 1993 S. 360, E. 3a mit Hinweisen). Darüber braucht jedoch nicht abschliessend geurteilt zu werden.</w:t>
      </w:r>
    </w:p>
    <w:p>
      <w:r>
        <w:rPr>
          <w:b/>
        </w:rPr>
        <w:t>E. 4.4</w:t>
      </w:r>
    </w:p>
    <w:p>
      <w:r>
        <w:t>Wie dargelegt (E. 3 hiervor) konnte die Vorinstanz bundesrechtskonform annehmen, der Kläger habe durch die mit überwiegender Wahrscheinlichkeit bewiesenen Tatsachen die Vermutung begründet, dass die Kündigung missbräuchlich im Sinne von Art. 336 Abs. 1 lit. d OR erfolgte. Unter diesen Umständen hat die Vorinstanz in Beachtung der Rechtsprechung des Bundsgerichts erkannt, der Arbeitgeber komme nicht umhin, die Beweise für seine Angaben zum Kündigungsgrund zu liefern (zit. Urteil des Bundesgerichts 4C.27/1992 E. 3a; ebenso 4C.262/2003 vom 4. November 2003, E. 3.2 mit Hinweisen). Dass die Beklagte die betreffenden Behauptungen nicht nachzuweisen vermochte, hat die Vorinstanz für das Bundesgericht verbindlich festgehalten. Von einer Verletzung von Art. 8 ZGB kann nicht die Rede sein.</w:t>
      </w:r>
    </w:p>
    <w:p>
      <w:r>
        <w:rPr>
          <w:b/>
        </w:rPr>
        <w:t>E. 5</w:t>
      </w:r>
    </w:p>
    <w:p>
      <w:r>
        <w:t>Insgesamt erweist sich die Berufung als unbegründet und ist abzuweisen, soweit darauf einzutreten ist. Da der Streitwert unter Fr. 30'000.-- liegt, sind keine Gerichtskosten zu erheben ( Art. 343 Abs. 3 OR ). Hingegen hat die Beklagte dem Kläger eine Parteientschädigung zu entrichten ( BGE 115 II 30 E. 5c S. 42 mit Hinweis). Da der Kläger sein Gesuch um unentgeltliche Rechtsverbeiständung nur für den Fall des Obsiegens der Gegenpartei gestellt hat, wird es mit seinem eigenen Obsiegen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