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4C.57/1999 vom 15. Mai 2000</w:t>
      </w:r>
    </w:p>
    <w:p>
      <w:r>
        <w:t>Bundesgericht, 2000-05-15, FR</w:t>
      </w:r>
    </w:p>
    <w:p>
      <w:r>
        <w:rPr>
          <w:b/>
        </w:rPr>
        <w:t xml:space="preserve">Quelle: </w:t>
      </w:r>
      <w:r>
        <w:t>https://mcp.opencaselaw.ch/entscheid/bger_4C.57_1999</w:t>
      </w:r>
    </w:p>
    <w:p>
      <w:r>
        <w:t>FR: TF 4C.57/1999 du 15 mai 2000</w:t>
      </w:r>
    </w:p>
    <w:p>
      <w:r>
        <w:t>IT: TF 4C.57/1999 del 15 maggio 2000</w:t>
      </w:r>
    </w:p>
    <w:p>
      <w:pPr>
        <w:pStyle w:val="Heading2"/>
      </w:pPr>
      <w:r>
        <w:t>Regeste</w:t>
      </w:r>
    </w:p>
    <w:p>
      <w:r>
        <w:t>Droit des contrats</w:t>
      </w:r>
    </w:p>
    <w:p>
      <w:pPr>
        <w:pStyle w:val="Heading2"/>
      </w:pPr>
      <w:r>
        <w:t>Erwägungen</w:t>
      </w:r>
    </w:p>
    <w:p>
      <w:r>
        <w:rPr>
          <w:b/>
        </w:rPr>
        <w:t>E. 8</w:t>
      </w:r>
    </w:p>
    <w:p>
      <w:r>
        <w:t>Le recours se révèle ainsi mal fondé pour autant qu'il est recevable. Le recourant supportera les frais de justice et versera une indemnité de dépens aux intimées, créancières solidaires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