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4C.49/2005 vom 2. Mai 2005</w:t>
      </w:r>
    </w:p>
    <w:p>
      <w:r>
        <w:t>Bundesgericht, 2005-05-02, DE</w:t>
      </w:r>
    </w:p>
    <w:p>
      <w:r>
        <w:rPr>
          <w:b/>
        </w:rPr>
        <w:t xml:space="preserve">Quelle: </w:t>
      </w:r>
      <w:r>
        <w:t>https://mcp.opencaselaw.ch/entscheid/bger_4C.49_2005</w:t>
      </w:r>
    </w:p>
    <w:p>
      <w:r>
        <w:t>FR: TF 4C.49/2005 du 2 mai 2005</w:t>
      </w:r>
    </w:p>
    <w:p>
      <w:r>
        <w:t>IT: TF 4C.49/2005 del 2 maggio 2005</w:t>
      </w:r>
    </w:p>
    <w:p>
      <w:pPr>
        <w:pStyle w:val="Heading2"/>
      </w:pPr>
      <w:r>
        <w:t>Erwägungen</w:t>
      </w:r>
    </w:p>
    <w:p>
      <w:r>
        <w:rPr>
          <w:b/>
        </w:rPr>
        <w:t>E. 1</w:t>
      </w:r>
    </w:p>
    <w:p>
      <w:r>
        <w:t>Im Berufungsverfahren hat das Bundesgericht seiner Entscheidung die tatsächlichen Feststellungen der Vorinstanz zugrunde zu legen, es sei denn, sie beruhten auf einem offensichtlichen Versehen, seien unter Verletzung bundesrechtlicher Beweisvorschriften zustande gekommen oder bedürften der Ergänzung, weil das kantonale Gericht in fehlerhafter Rechtsanwendung einen gesetzlichen Tatbestand nicht oder nicht hinreichend klärte, obgleich ihm die entscheidwesentlichen Behauptungen und Beweisanträge rechtzeitig und in der vorgeschriebenen Form unterbreitet wurden ( Art. 63 und 64 OG ; BGE 127 III 248 E. 2c). Blosse Kritik an der Beweiswürdigung des kantonalen Gerichts kann dagegen mit Berufung nicht vorgetragen werden ( BGE 127 III 73 E. 6a). In der Berufungsschrift ist genau anzugeben, welche Bundesrechtssätze der angefochtene Entscheid verletzt und inwiefern er gegen sie verstösst ( Art. 55 Abs. 1 lit. c OG ). Soweit die Berufung diesen Begründungsanforderungen nicht genügt, hat sie unbeachtet zu bleiben.</w:t>
      </w:r>
    </w:p>
    <w:p>
      <w:r>
        <w:rPr>
          <w:b/>
        </w:rPr>
        <w:t>E. 2</w:t>
      </w:r>
    </w:p>
    <w:p>
      <w:r>
        <w:t>Die Klägerin rügt eine Verletzung von Art. 8 ZGB . Sie bringt vor, im vorinstanzlichen Verfahren habe sie die Einvernahme einer Zeugin (Frau S.________) beantragt. Die Vorinstanz wäre nach Ansicht der Klägerin verpflichtet gewesen, diesen Beweis zwecks Überprüfung der Bevollmächtigung abzunehmen.</w:t>
      </w:r>
    </w:p>
    <w:p>
      <w:r>
        <w:rPr>
          <w:b/>
        </w:rPr>
        <w:t>E. 2.1</w:t>
      </w:r>
    </w:p>
    <w:p>
      <w:r>
        <w:t>Die Vorinstanz hat erwogen, für den Übergang der strittigen Forderung von der C.________ AG auf die Klägerin sei die nach Art. 165 Abs. 1 OR für eine rechtsgültige Zession erforderliche Schriftform nicht erfüllt. Denn es fehle die Unterschrift der Zedentin (C.________ AG). Die Forderung stehe daher, sofern sie überhaupt bestehe, weiterhin der C.________ AG zu. Die Vorinstanz hat diesen Schluss auf die Abtretungsurkunde vom 22. Dezember 2001 gestützt, die für die Zedentin (C.________ AG) von deren Verwaltungsratspräsidentin, Frau S.________, unterzeichnet wurde. Die Vorinstanz erwog, gemäss dem einschlägigen Handelsregistereintrag stehe Frau S.________ für die C.________ AG lediglich eine Kollektivzeichnungsberechtigung zu zweien zu. Die Klägerin habe weder eine interne Einzelermächtigung an Frau S.________ zur Abtretung der Forderung noch eine nachträgliche Genehmigung der von Frau S.________ alleine vorgenommenen Abtretung durch die vertretungsberechtigten Organe der C.________ AG behauptet und nachgewiesen.</w:t>
      </w:r>
    </w:p>
    <w:p>
      <w:r>
        <w:rPr>
          <w:b/>
        </w:rPr>
        <w:t>E. 2.2</w:t>
      </w:r>
    </w:p>
    <w:p>
      <w:r>
        <w:t>Art. 8 ZGB regelt im Bereich des Bundesprivatrechts zunächst die Verteilung der Beweislast und verleiht darüber hinaus der beweisbelasteten Partei das Recht, zu dem ihr obliegenden Beweis zugelassen zu werden. Indessen schreibt sie dem Sachgericht nicht vor, mit welchen Mitteln der Sachverhalt abzuklären ist oder wie die Beweise zu würdigen sind. Die Schlüsse, die das kantonale Gericht in tatsächlicher Hinsicht aus Beweisen und konkreten Umständen zieht, sind im Berufungsverfahren nicht überprüfbar ( BGE 122 III 219 E. 3c). Auf die Berufung ist somit nicht einzutreten, soweit die Klägerin Kritik an der vorinstanzlichen Beweiswürdigung übt ( BGE 127 III 73 E. 6a). Die Vorinstanz ist in Würdigung der Beweise (Zessionsurkunde, Handelsregistereintrag) zu einem Beweisergebnis (keine Einzelermächtigung von Frau S.________) gelangt und hat nicht auf Beweislosigkeit geschlossen. In einem solchen Fall ist die Beweislastverteilung gegenstandslos, was einen Verstoss gegen Art. 8 ZGB ausschliesst ( BGE 114 II 289 E. 2a). Die Rüge ist unbegründet.</w:t>
      </w:r>
    </w:p>
    <w:p>
      <w:r>
        <w:rPr>
          <w:b/>
        </w:rPr>
        <w:t>E. 3</w:t>
      </w:r>
    </w:p>
    <w:p>
      <w:r>
        <w:t>Die Klägerin rügt weiter, die Vorinstanz habe in Verletzung von Art. 32 f. und 165 OR die Zessionserklärung vom 22. Dezember 2001 für ungültig erachtet, weil die unterzeichnende Frau S.________ nur kollektivzeichnungsberechtigt gewesen sei. Dies sei ebenso wie die daraus gefolgerte fehlende Aktivlegitimation der Klägerin bundesrechtswidrig.</w:t>
      </w:r>
    </w:p>
    <w:p>
      <w:r>
        <w:rPr>
          <w:b/>
        </w:rPr>
        <w:t>E. 3.1</w:t>
      </w:r>
    </w:p>
    <w:p>
      <w:r>
        <w:t>Nach den für das Bundesgericht verbindlichen Feststellungen der Vorinstanz ( Art. 63 Abs. 2 OG ), stand der Verwaltungsratspräsidentin der C.________ AG, Frau S.________, nur eine kollektive Zeichnungsberechtigung zu zweien zu. Weiter hat die Vorinstanz verbindlich festgestellt, dass die massgebliche Zessionsurkunde vom 22. Dezember 2001 einzig durch Frau S.________ unterzeichnet wurde. Ausserdem hat die Klägerin im vorinstanzlichen Verfahren weder eine Einzelermächtigung an Frau S.________ zur Abtretung der Forderung noch eine nachträgliche Genehmigung der von Frau S.________ alleine vorgenommenen Zession durch die vertretungsberechtigten Ogane der C.________ AG behauptet und nachgewiesen.</w:t>
      </w:r>
    </w:p>
    <w:p>
      <w:r>
        <w:rPr>
          <w:b/>
        </w:rPr>
        <w:t>E. 3.2</w:t>
      </w:r>
    </w:p>
    <w:p>
      <w:r>
        <w:t>Der zur Vertretung befugte Verwaltungsrat kann im Namen der Aktiengesellschaft alle Rechtshandlungen vornehmen, die der Zweck der Gesellschaft mit sich bringen kann ( Art. 718a Abs. 1 OR ). Nach Art. 718a Abs. 2 OR kann die Vertretungsmacht beliebig auch mit Wirkung gegenüber Dritten beschränkt werden. Eine Beschränkung der Vertretungsbefugnis hat nach dieser Bestimmung selbst gegenüber Gutgläubigen Wirkung, sofern sie im Handelsregister eingetragen ist ( BGE 120 II 5 E. 2c). Zweck der Kollektivunterschrift zu zweien ist, die Zeichnungskompetenz der beiden jeweiligen Berechtigten in dem Sinne einzuschränken, dass keiner ohne den anderen rechtswirksam über Vermögenswerte der Gesellschaft verfügen bzw. entsprechende Rechtsgeschäfte abschliessen kann. Besteht ein Eintrag einer derartigen Kollektivklausel im Handelsregister, ist daher die Unterschrift des einen Vertreters ohne die Mitwirkung des andern nicht verbindlich ( Art. 460 Abs. 2 OR ; Watter, Basler Kommentar, N 19 zu Art. 718a OR ). Die Vertretungswirkung kann in einem solchen Fall nur eintreten, sofern der unterzeichnende Kollektivvertreter eine Einzelvollmacht erhalten hat oder der andere Kollektivvertreter einer Einzelzeichnung vorgängig zugestimmt bzw. nachträglich genehmigt hat (Watter, a.a.O., N 21 zu Art. 718a OR ).</w:t>
      </w:r>
    </w:p>
    <w:p>
      <w:r>
        <w:rPr>
          <w:b/>
        </w:rPr>
        <w:t>E. 3.3</w:t>
      </w:r>
    </w:p>
    <w:p>
      <w:r>
        <w:t>Angesichts dieser Rechtslage hat Frau S.________ als nur kollektivzeichnungsberechtigte Verwaltungsrätin der C.________ AG über die umstrittene Forderung nicht rechtsgültig verfügt. Denn die Zessionsurkunde vom 22. Dezember 2001 enthält nur die Unterschrift von Frau S.________. Das Vorliegen einer Einzelermächtigung oder nachträglichen Genehmigung hat die Klägerin nach den (verbindlichen) vorinstanzlichen Feststellungen weder behauptet noch bewiesen. Die Vorinstanz hat daher bundesrechtskonform eine Abtretung der Forderung von der C.________ AG an die Klägerin verneint. Daraus folgt, dass der Klägerin mangels Gläubigerstellung auch keine Aktivlegitimation im vorinstanzlichen Forderungsprozess zukam. Dieser Schluss der Vorinstanz ist ebenfalls bundesrechtskonform. Die Rüge einer Verletzung von Bundesrecht ist unbegründet.</w:t>
      </w:r>
    </w:p>
    <w:p>
      <w:r>
        <w:rPr>
          <w:b/>
        </w:rPr>
        <w:t>E. 4</w:t>
      </w:r>
    </w:p>
    <w:p>
      <w:r>
        <w:t>Die Klägerin macht schliesslich geltend, die Vorinstanz habe nicht berücksichtigt, dass eine Vertretungsvollmacht im Sinne der Art. 32 f. OR formlos erteilt werden könne. Dies stelle eine Verletzung von Bundesrecht dar. Wie die Beklagte zu Recht vorbringt, ist diese Behauptung unzutreffend. Entgegen der Ansicht der Klägerin hat sich die Vorinstanz mit dem Vorliegen einer allfälligen formfreien Ermächtigung auseinander gesetzt. Die Vorinstanz hat aber in diesem Zusammenhang geschlossen, eine stillschweigende Ermächtigung bzw. Genehmigung könne im Hinblick auf die Höhe der abgetretenen Forderung und des offenbaren Fehlens von Gegenleistungen nicht vermutet werden (vgl. oben E. 2.1). Die Vorinstanz hat kein Bundesrecht verletzt, womit die Rüge unbegründet ist.</w:t>
      </w:r>
    </w:p>
    <w:p>
      <w:r>
        <w:rPr>
          <w:b/>
        </w:rPr>
        <w:t>E. 5</w:t>
      </w:r>
    </w:p>
    <w:p>
      <w:r>
        <w:t>Die Berufung ist abzuweisen, soweit darauf eingetreten werden kann. Diesem Verfahrensausgang entsprechend ist die Gerichtsgebühr der Klägerin zu auferlegen ( Art. 156 Abs. 1 OG ). Sie hat überdies der anwaltlich vertretenen Beklagten eine Parteientschädigung zu leisten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