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4C.48/2002 vom 19. Oktober 2001</w:t>
      </w:r>
    </w:p>
    <w:p>
      <w:r>
        <w:t>Bundesgericht, 2001-10-19, FR</w:t>
      </w:r>
    </w:p>
    <w:p>
      <w:r>
        <w:rPr>
          <w:b/>
        </w:rPr>
        <w:t xml:space="preserve">Quelle: </w:t>
      </w:r>
      <w:r>
        <w:t>https://mcp.opencaselaw.ch/entscheid/bger_4C.48_2002</w:t>
      </w:r>
    </w:p>
    <w:p>
      <w:r>
        <w:t>FR: TF 4C.48/2002 du 19 octobre 2001</w:t>
      </w:r>
    </w:p>
    <w:p>
      <w:r>
        <w:t>IT: TF 4C.48/2002 del 19 ottobre 2001</w:t>
      </w:r>
    </w:p>
    <w:p>
      <w:pPr>
        <w:pStyle w:val="Heading2"/>
      </w:pPr>
      <w:r>
        <w:t>Regeste</w:t>
      </w:r>
    </w:p>
    <w:p>
      <w:r>
        <w:t>Droit des contrats</w:t>
      </w:r>
    </w:p>
    <w:p>
      <w:pPr>
        <w:pStyle w:val="Heading2"/>
      </w:pPr>
      <w:r>
        <w:t>Erwägungen</w:t>
      </w:r>
    </w:p>
    <w:p>
      <w:r>
        <w:rPr>
          <w:b/>
        </w:rPr>
        <w:t>E. 1</w:t>
      </w:r>
    </w:p>
    <w:p>
      <w:r>
        <w:t>Le défendeur estime que l'arrêt attaqué est entaché d'inadvertances manifestes ( art. 63 al. 2 OJ ) et de lacunes dans les constatations de fait ( art. 64 OJ ). En raison de ces erreurs dans l'état de fait, la Cour d'appel aurait violé les art. 319, 151 et 156 CO ainsi que l' art. 2 CC . a) La jurisprudence n'admet l'existence d'une inadvertance manifeste, susceptible d'être rectifiée d'office par le Tribunal fédéral en application de l' art. 63 al. 2 OJ , que lorsque l'autorité cantonale a, par mégarde, retenu un état de fait qui ne correspond manifestement pas avec le résultat de l'appréciation des preuves; tel est le cas par exemple si l'autorité a omis de mentionner un fait clairement établi ou si, par une simple inattention, elle s'est à l'évidence trompée sur un point de fait établi sans équivoque ( ATF 121 IV 104 consid. 2b et les références citées). L'inadvertance manifeste ne saurait être confondue avec l'appréciation des preuves. Dès l'instant où une constatation de fait repose sur l'appréciation, même insoutenable, d'une preuve, d'un ensemble de preuves ou d'indices, une inadvertance est exclue (Poudret, COJ, II, n. 5.4 ad art. 63 OJ ). Il ne peut en effet être remédié à une mauvaise appréciation des preuves par la voie prévue à l' art. 55 al. 1 let . d OJ ( ATF 96 I 193 consid. 2; Poudret, op. cit. , n. 1.6.3 ad art. 55 OJ ). b) Aux termes de l' art. 64 al. 1 OJ , s'il y a lieu de compléter les constatations de l'autorité cantonale, le Tribunal fédéral annule la décision attaquée et renvoie l'affaire à cette autorité en l'invitant à compléter au besoin le dossier et à statuer à nouveau.</w:t>
      </w:r>
    </w:p>
    <w:p>
      <w:r>
        <w:rPr>
          <w:b/>
        </w:rPr>
        <w:t>E. 2</w:t>
      </w:r>
    </w:p>
    <w:p>
      <w:r>
        <w:t>En l'espèce, l'arrêt attaqué retient que le défendeur n'a pas prouvé avoir fait des démarches pour que la demanderesse obtienne un permis de travail. a) Le défendeur estime que les preuves administrées (témoignages de Mes X.________ et Y.________, déclaration de la demanderesse) démontrent qu'il s'est occupé de la question du permis de travail mais qu'en raison du manque d'unités disponibles dans le canton de Genève, une telle autorisation était impossible à obtenir. Ces déclarations démontreraient également que la demanderesse était informée de cette impossibilité et qu'elle savait qu'elle ne devait déployer aucune activité avant d'être en règle avec les autorités. Le défendeur soutient que c'est par inadvertance que la Cour d'appel a omis de prendre en considération ces éléments de preuves. Il estime qu'en conséquence, la Cour d'appel lui a imputé la responsabilité de la non-délivrance du permis de travail et a considéré que le contrat de travail déployait tous ses effets en vertu de l' art. 156 CO . Selon cette disposition, la condition est réputée accomplie quand l'une des parties en a empêché l'avènement au mépris des règles de la bonne foi. b) Sous le couvert du grief d'inadvertance manifeste, le défendeur s'en prend en réalité à l'appréciation des preuves à laquelle s'est livrée la Cour d'appel. En effet, l'absence de mention d'une pièce dans le cadre de l'appréciation des preuves ne signifie pas encore qu'il y ait inadvertance, qui plus est, inadvertance manifeste; il faut que la pièce n'ait pas du tout été examinée par le juge. Or en l'espèce, le défendeur invoque des témoignages et déclarations verbalisés par la Cour d'appel lors d'une procédure d'enquête; les juges cantonaux en ont donc forcément pris connaissance. En outre, l'examen de ces documents ne révèle pas d'erreur évidente ou de mauvaise compréhension flagrante de la part de la Cour d'appel. Le grief d'inadvertance manifeste est par conséquent infondé.</w:t>
      </w:r>
    </w:p>
    <w:p>
      <w:r>
        <w:rPr>
          <w:b/>
        </w:rPr>
        <w:t>E. 3</w:t>
      </w:r>
    </w:p>
    <w:p>
      <w:r>
        <w:t>a) Le défendeur soutient par ailleurs que l'état de fait est incomplet au sens de l' art. 64 OJ car la Cour d'appel n'a pas constaté que la demanderesse et son époux l'avaient sciemment tenu dans l'ignorance de leurs activités, qu'ils avaient court-circuité son conseil de l'époque pour mieux maîtriser l'information qui lui parvenait et que la demanderesse avait exercé à son insu une activité en tant que Présidente du comité exécutif de la Fondation et s'était versé un salaire mensuel net de 15'000 francs. Le défendeur estime que les pièces et témoignages figurant au dossier (pièces 16 à 20 défendeur, pièces 67 et 68 demanderesse, témoignage de Me Y.________) établissent clairement ces faits. b) Là encore, le défendeur invoque à tort l' art. 64 al. 1 OJ en prétendant que la Cour d'appel a omis de constater que la demanderesse avait agi de manière abusive. Les constatations cantonales sont suffisantes pour statuer sur la question juridique à résoudre. Le grief est par conséquent infondé. La critique du recourant porte en réalité sur l'appréciation des preuves de la Cour d'appel mais ce grief n'est pas recevable dans le cadre d'un recours en réforme (art. 43 al. 1 deuxième phrase OJ).</w:t>
      </w:r>
    </w:p>
    <w:p>
      <w:r>
        <w:rPr>
          <w:b/>
        </w:rPr>
        <w:t>E. 4</w:t>
      </w:r>
    </w:p>
    <w:p>
      <w:r>
        <w:t>Pour le surplus, le défendeur ne prétend pas que la Cour d'appel aurait violé le droit fédéral en donnant partiellement gain de cause à la demanderesse sur la base des faits retenus dans l'arrêt attaqué. Le Tribunal fédéral examine cependant d'office l'application du droit fédéral et le défendeur conteste le principe même de sa dette envers la demanderesse. Il convient donc d'examiner en l'espèce si la condamnation du recourant repose sur une saine application du droit fédéral. Le raisonnement juridique cantonal manque de clarté. Toutefois, il apparaît que la Cour d'appel n'a pas considéré que le contrat conclu le 22 octobre 1998 déployait des effets juridiques, contrairement à ce que soutient le défendeur. Même si elle a constaté que le défendeur n'avait pas effectué de démarches pour l'obtention d'un permis de travail, la Cour d'appel n'a pas fait application de l' art. 156 CO et considéré que la condition suspensive était réalisée. Au demeurant, cette disposition n'était pas applicable puisqu'il n'a pas été constaté que le défendeur aurait empêché la réalisation de la condition suspensive de manière contraire à la bonne foi. La condamnation du défendeur se fonde en réalité sur la conclusion tacite d'un second contrat de travail ne comportant pas de condition relative à un permis. En effet, la Cour d'appel s'est référée à l' art. 320 al. 2 CO , selon lequel le contrat de travail est réputé conclu lorsque l'employeur accepte pour un temps donné l'exécution d'un travail qui, d'après les circonstances, ne doit être fourni que contre un salaire. Elle a constaté que la demanderesse avait effectué des prestations pour A.________ contre un salaire qui était dû; elle n'a en revanche pas retenu les allégations du défendeur selon lesquelles il ignorait tout de l'activité et du salaire de la demanderesse. Sur la base de ce second contrat, valable malgré l'absence de permis (cf. ATF 114 II 279 consid. 2d), la condamnation du défendeur à verser à la demanderesse un salaire de 17'000 fr. brut pour les mois de juillet à octobre 1999 ne viole pas le droit fédéral.</w:t>
      </w:r>
    </w:p>
    <w:p>
      <w:r>
        <w:rPr>
          <w:b/>
        </w:rPr>
        <w:t>E. 5</w:t>
      </w:r>
    </w:p>
    <w:p>
      <w:r>
        <w:t>Le recours doit être rejeté et l'arrêt attaqué confirmé. Il appartiendra au défendeur, qui succombe, d'assumer les frais judiciaires et les dépens de la procédure fédérale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