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4C.467/2004 vom 1. April 2005</w:t>
      </w:r>
    </w:p>
    <w:p>
      <w:r>
        <w:t>Bundesgericht, 2005-04-01, FR</w:t>
      </w:r>
    </w:p>
    <w:p>
      <w:r>
        <w:rPr>
          <w:b/>
        </w:rPr>
        <w:t xml:space="preserve">Quelle: </w:t>
      </w:r>
      <w:r>
        <w:t>https://mcp.opencaselaw.ch/entscheid/bger_4C.467_2004</w:t>
      </w:r>
    </w:p>
    <w:p>
      <w:r>
        <w:t>FR: TF 4C.467/2004 du 1 avril 2005</w:t>
      </w:r>
    </w:p>
    <w:p>
      <w:r>
        <w:t>IT: TF 4C.467/2004 del 1 aprile 2005</w:t>
      </w:r>
    </w:p>
    <w:p>
      <w:pPr>
        <w:pStyle w:val="Heading2"/>
      </w:pPr>
      <w:r>
        <w:t>Regeste</w:t>
      </w:r>
    </w:p>
    <w:p>
      <w:r>
        <w:t>contrat de travail; bonus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formé pour violation du droit fédéral ( art. 43 al. 1 OJ ), tandis qu'il ne permet pas de critiquer la violation directe d'un droit de rang constitutionnel ( art. 43 al. 1 2 e phrase OJ) ni celle du droit cantonal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pas être présenté de griefs contre les constatations de fait, ni de faits ou de moyens de preuve nouveaux ( art. 55 al. 1 let . c OJ). Le recours n'est pas ouvert pour se plaindre de l'appréciation des preuves et des constatations de fait qui en résultent ( ATF 130 III 102 consid. 2.2 in fine, 136 consid. 1.4; 129 III 618 consid. 3).</w:t>
      </w:r>
    </w:p>
    <w:p>
      <w:r>
        <w:rPr>
          <w:b/>
        </w:rPr>
        <w:t>E. 2</w:t>
      </w:r>
    </w:p>
    <w:p>
      <w:r>
        <w:t>La Cour d'appel de la juridiction des prud'hommes constate d'abord que la "gratification" prévue par le règlement du personnel daté du 1er septembre 1991, selon les termes de ce texte, n'est pas une prestation distincte du "bonus" dont il est question dans d'autres documents. Les deux expressions désignent, selon la Cour, une rétribution spéciale que l'employeur accorde en sus du salaire selon l' art. 322d CO . Le terme "gratification" apparaît seulement dans le règlement de 1991, or celui-ci a été remplacé et il n'est donc plus applicable. Le "bonus" est seul mentionné dans toutes les autres pièces que les parties ont produites. La Cour partage donc l'opinion des premiers juges selon laquelle la gratification et le bonus coïncident quant à leur objet, de sorte que le demandeur ne peut pas élever des prétentions spécifiques en rapport avec chacun de ces termes. La Cour d'appel recherche ensuite si le demandeur a droit à un bonus pour l'exercice de 2001. Sur la base d'une interprétation de la lettre d'engagement, des règlements du personnel, soit l'ancien et l'actuel, des décomptes de salaire, de divers écrits des parties et, en particulier, de la lettre envoyée par le demandeur le 14 juin 2001, elle retient que les premiers juges ont à juste titre dénié ce droit pour l'exercice concerné. La défenderesse n'avait accordé un droit au bonus que pour l'exercice de 1998, cela parce que, dans le secteur bancaire, il est usuel de garantir cette prestation à un nouveau collaborateur pour l'année de son engagement, afin de compenser la perte du bonus que ce collaborateur aurait obtenu pour cette même année s'il avait conservé son précédent emploi. Pour les exercices suivants, la défenderesse avait toujours, en annonçant le bonus consenti par elle, rappelé le caractère facultatif de cette rétribution spéciale. La lettre du 14 juin 2001 révélait la connaissance de ce caractère facultatif par le demandeur car, s'il l'avait ignoré, il n'aurait pas demandé qu'un bonus lui fût garanti pour les années 2001 et 2002. Selon la Cour, le demandeur connaissait aussi l'usage selon lequel un employé perd ses expectatives concernant le bonus lorsque, avant la fin de l'année civile, il quitte la banque ou lui donne congé, et le demandeur savait aussi que cet usage continuait d'être appliqué par la défenderesse conformément au chiffre 4.4 de l'ancien règlement du personnel. Le rejet de la demande était donc fondé.</w:t>
      </w:r>
    </w:p>
    <w:p>
      <w:r>
        <w:rPr>
          <w:b/>
        </w:rPr>
        <w:t>E. 3</w:t>
      </w:r>
    </w:p>
    <w:p>
      <w:r>
        <w:t>Le demandeur se plaint d'une violation des art. 18 et 322d CO dans l'interprétation des clauses contractuelles concernant le bonus, ainsi que d'une violation du principe de l'égalité de traitement des travailleurs dans l'entreprise. Il reproche aux précédents juges de n'avoir pas comparé de façon analytique et critique les clauses de la lettre d'engagement concernant le bonus, d'une part, avec les dispositions du règlement concernant le même objet, d'autre part. Il soutient que le droit au bonus prenait naissance du seul fait que ses propres prestations atteignaient ou dépassaient les objectifs fixés, condition qui s'est accomplie aussi pour l'année 2001. Le bonus contractuel de 36'000 fr., correspondant à 20% du salaire de base de cette année, lui était donc dû. Les rapports contractuels n'avaient pris fin que le 28 février 2002 et ils avaient ainsi subsisté pendant toute l'année 2001. Il ne réclamait le bonus que pour cette année-ci, sans élever aucune prétention pour 2002. Par ailleurs, la majorité des collaborateurs de la défenderesse avaient reçu une gratification pour 2001; il était donc contraire au principe de l'égalité des travailleurs de refuser cette prestation au demandeur seulement parce qu'il avait donné congé au cours de cette année. Cela l'autorisait à élever une prétention supplémentaire de 13'000 fr. au titre de la gratification prévue par le règlement. Cette argumentation méconnaît les constatations de la Cour d'appel, qui lient le Tribunal fédéral, selon lesquelles le demandeur connaissait l'usage voulant que l'employé qui quitte un établissement bancaire ou qui donne sa lettre de démission avant la fin de l'année civile perd ses expectatives concernant le bonus de l'année en cours. Elle passe également sous silence que, selon une autre constatation à laquelle la Cour est parvenue sur la base de la lettre du 14 juin 2001, le demandeur était conscient de ce que le bonus ne lui était pas garanti. Au regard de cette circonstance, une interprétation des clauses contractuelles selon le principe de la confiance n'entre pas en considération. En effet, le sens qui peut leur être objectivement reconnu doit de toute manière céder le pas à la réelle et commune intention des parties. Lorsque l'une de celles-ci connaît le sens que l'autre partie attribue à la clause concernée, elle ne peut pas faire valoir de bonne foi qu'objectivement, un sens différent devrait être préféré. Le demandeur sachant d'emblée que la défenderesse n'envisageait le versement d'un bonus que si les rapports de travail n'étaient pas résiliés au cours de l'année, ses prétentions concernant le bonus de l'année 2001 sont mal fondées. Il n'est pas nécessaire d'examiner la distinction qu'il prétend opérer entre le "bonus" et la "gratification". Le moyen tiré de l'égalité de traitement des travailleurs est lui aussi mal fondé. L'arrêt de la Cour d'appel ne constate pas que la défenderesse ait accordé, pour l'année 2001, un bonus à d'autres collaborateurs qui auraient eu aussi donné congé au cours de cette année. Le demandeur n'allègue d'ailleurs pas un tel fait. Il n'y a pas lieu de renvoyer la cause à la juridiction cantonale pour faire élucider si les collaborateurs qui n'avaient pas donné congé ont reçu le bonus car ce fait-ci, le cas échéant, est dépourvu de pertinence. Le demandeur ne met pas en doute que l'employeur puisse valablement subordonner le paiement d'une rétribution spéciale, exorbitante du salaire convenu, à la condition que le travailleur soit encore occupé par l'entreprise ou n'ait ni donné ni reçu son congé (Gabriel Aubert, Commentaire romand, ch. 8 ad art. 323d CO ). On ne discerne donc aucune violation de l' art. 323d CO .</w:t>
      </w:r>
    </w:p>
    <w:p>
      <w:r>
        <w:rPr>
          <w:b/>
        </w:rPr>
        <w:t>E. 4</w:t>
      </w:r>
    </w:p>
    <w:p>
      <w:r>
        <w:t>Le recours en réforme se révèle privé de fondement, dans la mesure où les griefs présentés sont recevables. La procédure n'est pas gratuite car le montant de la demande, qui détermine la valeur litigieuse selon l' art. 343 al. 2 CO , était supérieur au plafond de 30'000 fr. prévu par cette disposition ( ATF 122 III 495 consid. 4; 115 II 30 consid. 5b p. 41). A titre de partie qui succombe, le demandeur doit donc acquitter l'émolument judiciaire et les dépens à allouer à l'autre partie (art. 156 al. 1 et 159 al. 2 OJ).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