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4C.452/2004 vom 5. August 2005</w:t>
      </w:r>
    </w:p>
    <w:p>
      <w:r>
        <w:t>Bundesgericht, 2005-08-05, FR</w:t>
      </w:r>
    </w:p>
    <w:p>
      <w:r>
        <w:rPr>
          <w:b/>
        </w:rPr>
        <w:t xml:space="preserve">Quelle: </w:t>
      </w:r>
      <w:r>
        <w:t>https://mcp.opencaselaw.ch/entscheid/bger_4C.452_2004</w:t>
      </w:r>
    </w:p>
    <w:p>
      <w:r>
        <w:t>FR: TF 4C.452/2004 du 5 août 2005</w:t>
      </w:r>
    </w:p>
    <w:p>
      <w:r>
        <w:t>IT: TF 4C.452/2004 del 5 agosto 2005</w:t>
      </w:r>
    </w:p>
    <w:p>
      <w:pPr>
        <w:pStyle w:val="Heading2"/>
      </w:pPr>
      <w:r>
        <w:t>Regeste</w:t>
      </w:r>
    </w:p>
    <w:p>
      <w:r>
        <w:t>contrat de travail | Droit des contrats</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w:t>
      </w:r>
    </w:p>
    <w:p>
      <w:r>
        <w:rPr>
          <w:b/>
        </w:rPr>
        <w:t>E. 2.1.1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w:t>
      </w:r>
    </w:p>
    <w:p>
      <w:r>
        <w:t>La Cour d'appel se voit encore reprocher d'avoir violé l' art. 8 CC en tenant pour constant que les fiches de salaire concernant le demandeur portaient l'en-tête de la défenderesse, bien qu'aucune de ces fiches n'eût été versée au dossier cantonal. Comme on le démontrera plus loin (cf. consid. 4 ci-après), savoir qui a établi les fiches de salaire n'est pas un fait pertinent pour la solution du différend. Par conséquent, les juges cantonaux n'ont pas violé les règles régissant le fardeau de la preuve en n'administrant pas de preuve sur ce point.</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du demandeur s'est faite sur la base d'une lettre de la défenderesse, dans laquelle celle-ci indiquait le moment où l'activité prendrait fin et précisait les prestations auxquelles le demandeur aurait droit depuis lors. Du point de vue juridique, cette lettre consistait en une offre de modification des rapports contractuels en vigueur, à savoir le contrat de travail. Le demandeur a accepté cette offre. Il en est résulté un nouveau contrat qui doit être interprété.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128 III 265 consid. 3a;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 La défenderesse souligne, à juste titre, que le contrat litigieux indique expressément que certaines prestations doivent être effectuées par Swissair. Il ne faut cependant pas perdre de vue qu'en l'occurrence, la cocontractante du demandeur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le demandeur.</w:t>
      </w:r>
    </w:p>
    <w:p>
      <w:r>
        <w:rPr>
          <w:b/>
        </w:rPr>
        <w:t>E. 4.2.2</w:t>
      </w:r>
    </w:p>
    <w:p>
      <w:r>
        <w:t>Cela étant, il va de soi que le demandeur pouvait partir de l'idée que la défenderesse ne lui avait pas simplement fait miroiter les prestations afférentes à son futur statut de préretraité, mais qu'elle avait pris l'engagement ferme de les lui verser. La défenderesse n'exprime d'ailleurs pas un autre avis sur ce point dans ses écritures. Elle ne soutient pas que le demandeur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le demandeur devait et pouvait comprendre la lettre de la défenderesse en ce sens que cette dernière lui promettait, entre autres choses, que la société-mère lui verserait les prestations mentionnées dans ce courrier. On est donc en présence d'un porte-fort, régi par l' art. 111 CO . 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 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le demandeur pouvait interpréter dans ce sens la manifestation de volonté émise par sa cocontractante, ou si elle a seulement voulu promettre au demandeur que les prestations de préretraite lui seraient versées par une autre société du groupe.</w:t>
      </w:r>
    </w:p>
    <w:p>
      <w:r>
        <w:rPr>
          <w:b/>
        </w:rPr>
        <w:t>E. 5</w:t>
      </w:r>
    </w:p>
    <w:p>
      <w:r>
        <w:t>La défenderesse ne peut pas être suivie lorsqu'elle fait grief à la Cour d'appel d'avoir appliqué de manière erronée l' art. 176 CO . En effet, la cour cantonale s'est abstenue, à bon droit, de citer cette disposition dans son arrêt. Dans le cas particulier, la défenderesse n'a pas repris la dette d'une autre société. Elle a bien plutôt confirmé et détaillé, dans sa lettre du 4 juillet 1996, un engagement qu'elle avait de toute évidence pris elle-même de manière ferme envers le demandeur lors d'entretiens antérieurs. C'est donc de l'accord passé à cette occasion que dérivent les prestations litigieuses. Quoi qu'en dise la défenderesse, dans la lettre précitée, elle ne se contentait pas de donner au demandeur de simples renseignements sur les prétentions que ce dernier pourrait éventuellement faire valoir contre de quelconques tiers. Bien plus, elle y promettait à l'intéressé que ces prestations lui seraient versées. La défenderesse n'a pas conseillé le demandeur. Elle a négocié avec lui un accord concernant l'extinction des rapports de travail et, dans le cadre de cette négociation, lui a offert les prestations contenues dans ladite lettre à titre de contrepartie à l'acceptation, par le travailleur, de sa mise en préretraite. Une reprise de dette aurait, en revanche, supposé que l'engagement relatif à ces prestations résultât d'un accord passé antérieurement entre le demandeur et un tiers, ce qui n'est même pas allégué par l'intéressé.</w:t>
      </w:r>
    </w:p>
    <w:p>
      <w:r>
        <w:rPr>
          <w:b/>
        </w:rPr>
        <w:t>E. 6</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