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4C.450/2004 vom 5. August 2005</w:t>
      </w:r>
    </w:p>
    <w:p>
      <w:r>
        <w:t>Bundesgericht, 2005-08-05, FR</w:t>
      </w:r>
    </w:p>
    <w:p>
      <w:r>
        <w:rPr>
          <w:b/>
        </w:rPr>
        <w:t xml:space="preserve">Quelle: </w:t>
      </w:r>
      <w:r>
        <w:t>https://mcp.opencaselaw.ch/entscheid/bger_4C.450_2004</w:t>
      </w:r>
    </w:p>
    <w:p>
      <w:r>
        <w:t>FR: TF 4C.450/2004 du 5 août 2005</w:t>
      </w:r>
    </w:p>
    <w:p>
      <w:r>
        <w:t>IT: TF 4C.450/2004 del 5 agosto 2005</w:t>
      </w:r>
    </w:p>
    <w:p>
      <w:pPr>
        <w:pStyle w:val="Heading2"/>
      </w:pPr>
      <w:r>
        <w:t>Regeste</w:t>
      </w:r>
    </w:p>
    <w:p>
      <w:r>
        <w:t>contrat de travail | Droit des contrats</w:t>
      </w:r>
    </w:p>
    <w:p>
      <w:pPr>
        <w:pStyle w:val="Heading2"/>
      </w:pPr>
      <w:r>
        <w:t>Erwägungen</w:t>
      </w:r>
    </w:p>
    <w:p>
      <w:r>
        <w:rPr>
          <w:b/>
        </w:rPr>
        <w:t>E. 1</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2</w:t>
      </w:r>
    </w:p>
    <w:p>
      <w:r>
        <w:t>Dans un premier moyen, la défenderesse reproche aux juges précédents d'avoir violé l' art. 8 CC en n'administrant aucune preuve sur la question de savoir quel montant le demandeur percevra dans la procédure concordataire concernant SAirGroup. A son avis, les constatations de l'autorité cantonale devraient être complétées sur ce point ( art. 64 al. 1 OJ ).</w:t>
      </w:r>
    </w:p>
    <w:p>
      <w:r>
        <w:rPr>
          <w:b/>
        </w:rPr>
        <w:t>E. 2.1.1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2.1.2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le demandeur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au demandeur de s'en prendre exclusivement à la défenderesse pour l'exécution intégrale de l'obligation litigieuse. Qu'il eût l'espoir d'être désintéressé un jour par la débitrice en liquidation concordataire ne l'empêchait nullement d'ouvrir action contre une autre partie qu'il considérait comme débitrice solidaire de la même obligation, ni de réclamer à cette partie la totalité du montant impayé. La somme que le demandeur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3</w:t>
      </w:r>
    </w:p>
    <w:p>
      <w:r>
        <w:t>Dans la présente espèce, la question de l'applicabilité de l' art. 333 CO ne se pose pas, dès lors que, postérieurement à la reprise de l'entreprise par la défenderesse, de nouveaux contrats de travail ont sans conteste été passés, qui désignaient expressément celle-ci comme employeuse. Que la défenderesse ait repris les contrats de travail n'est ainsi pas douteux. Eu égard au texte clair du contrat de travail liant les parties, il n'est pas non plus contestable que c'est bien la défenderesse, et non la société-mère, qui a revêtu la qualité d'employeuse, en dépit du fait que cette dernière versait les salaires et établissait les décomptes y relatifs. Par conséquent, les arguments de la défenderesse qui se rapportent à l' art. 333 CO tombent à faux.</w:t>
      </w:r>
    </w:p>
    <w:p>
      <w:r>
        <w:rPr>
          <w:b/>
        </w:rPr>
        <w:t>E. 4.1</w:t>
      </w:r>
    </w:p>
    <w:p>
      <w:r>
        <w:t>La mise à la retraite anticipée du demandeur s'est faite sur la base d'une lettre de la défenderesse, dans laquelle celle-ci indiquait le moment où l'activité prendrait fin et précisait les prestations auxquelles le demandeur aurait droit depuis lors. Du point de vue juridique, cette lettre consistait en une offre de modification des rapports contractuels en vigueur, à savoir le contrat de travail. Le demandeur a accepté cette offre. Il en est résulté un nouveau contrat qui doit être interprété.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 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 ATF 128 III 265 consid. 3a; 127 III 444 consid. 1b). Pour cette raison, la jurisprudence actuelle ne considère pas comme nécessairement décisif en soi le fait que les parties ont eu recours à des expressions juridiques précises (pour l'opinion inverse, voir encore l' ATF 111 II 284 consid. 2 p. 287 et Christoph M. Pestalozzi, Commentaire bernois, n. 32 in fine ad art. 111 CO , qui se réfère à ce précédent). En particulier, on ne saurait faire fond,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 ATF 129 III 702 consid. 2.4.1 p. 708 et les arrêts cités). La défenderesse souligne, à juste titre, que le contrat litigieux indique expressément que certaines prestations doivent être effectuées par Swissair. Il ne faut cependant pas perdre de vue qu'en l'occurrence, la cocontractante du demandeur est la défenderesse et non Swissair.</w:t>
      </w:r>
    </w:p>
    <w:p>
      <w:r>
        <w:rPr>
          <w:b/>
        </w:rPr>
        <w:t>E. 4.2.1</w:t>
      </w:r>
    </w:p>
    <w:p>
      <w:r>
        <w:t>De ce que les sociétés formant partie d'un groupe de sociétés ont une personnalité juridique propre, il découle en principe que seules peuvent agir pour l'une de ces sociétés les personnes qui ont le pouvoir de la représenter, resp. qui occupent la position d'organes au sein de ladite société et agissent pour elle (Jean Nicolas Druey/Alexander Vogel, Das schweizerische Konzernrecht in der Praxis der Gerichte, Zurich 1999, p. 239 s.). A cet égard, les principes généraux en matière de pouvoir de représentation sont applicables. Seul un motif particulier pourrait justifier de s'en écarter dans le sens de la reconnaissance d'un pouvoir de représentation plus large. Un tel motif peut consister dans une procuration. Celle-ci peut avoir été délivrée expressément par la société-mère ou résulter des circonstances (procuration apparente; "Anscheinsvollmacht" ou "Duldungsvollmacht" selon la terminologie allemande). Cependant, en l'espèce, la défenderesse n'allègue même pas l'existence d'une procuration expresse ou tacite. Il faut en déduire que le contrat litigieux ne pouvait pas obliger Swissair. Autrement dit, c'est bien en son propre nom que la défenderesse a conclu ce contrat avec le demandeur.</w:t>
      </w:r>
    </w:p>
    <w:p>
      <w:r>
        <w:rPr>
          <w:b/>
        </w:rPr>
        <w:t>E. 4.2.2</w:t>
      </w:r>
    </w:p>
    <w:p>
      <w:r>
        <w:t>Cela étant, il va de soi que le demandeur pouvait partir de l'idée que la défenderesse ne lui avait pas simplement fait miroiter les prestations afférentes à son futur statut de préretraité, mais qu'elle avait pris l'engagement ferme de les lui verser. La défenderesse n'exprime d'ailleurs pas un autre avis sur ce point dans ses écritures. Elle ne soutient pas que le demandeur n'aurait pas acquis de créance relativement à ces prestations. Son argumentation repose bien plutôt sur la thèse selon laquelle le sujet passif de cette créance était une autre personne qu'elle. Cependant, comme la défenderesse ne pouvait pas contraindre un tiers à exécuter l'obligation litigieuse, le demandeur devait et pouvait comprendre la lettre de la défenderesse en ce sens que cette dernière lui promettait, entre autres choses, que la société-mère lui verserait les prestations mentionnées dans ce courrier. On est donc en présence d'un porte-fort, régi par l' art. 111 CO . En matière de porte-fort, la garantie est exigible dès que la prestation du tiers n'est pas effectuée au moment convenu. Le bénéficiaire de la promesse n'est pas tenu de mettre en demeure le tiers (Pestalozzi, op. cit., n. 12 ad art. 111 CO ), ni de le rechercher (Silvia Tevini Du Pasquier, Commentaire romand, n. 14 ad art. 111 CO ). Que le promettant ne soit pas obligé de réaliser le fait promis, mais uniquement de réparer le dommage que le bénéficiaire subit parce que le tiers n'a pas adopté un comportement conforme à la promesse ne joue aucun rôle en l'espèce. En effet, la promesse avait pour objet une prestation pécuniaire, de sorte que son inexécution entraînait l'obligation, à charge du promettant, de payer des dommages-intérêts de même nature et de même ampleur, auxquels viendraient s'ajouter, le cas échéant, l'intérêt moratoire et d'autres frais. Il est, dès lors, sans importance que, dans le contrat en cause, la défenderesse ait promis, en partie, ses propres prestations et, en partie, celles d'une autre société du groupe. Il n'est pas non plus décisif de déterminer si la défenderesse a voulu s'engager à verser elle-même les prestations promises, resp. si le demandeur pouvait interpréter dans ce sens la manifestation de volonté émise par sa cocontractante, ou si elle a seulement voulu promettre au demandeur que les prestations de préretraite lui seraient versées par une autre société du groupe.</w:t>
      </w:r>
    </w:p>
    <w:p>
      <w:r>
        <w:rPr>
          <w:b/>
        </w:rPr>
        <w:t>E. 5</w:t>
      </w:r>
    </w:p>
    <w:p>
      <w:r>
        <w:t>La défenderesse ne peut pas être suivie lorsqu'elle fait grief à la Cour d'appel d'avoir appliqué de manière erronée l' art. 176 CO . En effet, la cour cantonale s'est abstenue, à bon droit, de citer cette disposition dans son arrêt. Dans le cas particulier, la défenderesse n'a pas repris la dette d'une autre société. Elle a bien plutôt confirmé et détaillé, dans sa lettre du 4 juillet 1996, un engagement qu'elle avait de toute évidence pris elle-même de manière ferme envers le demandeur lors d'entretiens antérieurs. C'est donc de l'accord passé à cette occasion que dérivent les prestations litigieuses. Quoi qu'en dise la défenderesse, dans la lettre précitée, elle ne se contentait pas de donner au demandeur de simples renseignements sur les prétentions que ce dernier pourrait éventuellement faire valoir contre de quelconques tiers. Bien plus, elle y promettait à l'intéressé que ces prestations lui seraient versées. La défenderesse n'a pas conseillé le demandeur. Elle a négocié avec lui un accord concernant l'extinction des rapports de travail et, dans le cadre de cette négociation, lui a offert les prestations contenues dans ladite lettre à titre de contrepartie à l'acceptation, par le travailleur, de sa mise en préretraite. Une reprise de dette aurait, en revanche, supposé que l'engagement relatif à ces prestations résultât d'un accord passé antérieurement entre le demandeur et un tiers, ce qui n'est même pas allégué par l'intéressé.</w:t>
      </w:r>
    </w:p>
    <w:p>
      <w:r>
        <w:rPr>
          <w:b/>
        </w:rPr>
        <w:t>E. 6</w:t>
      </w:r>
    </w:p>
    <w:p>
      <w:r>
        <w:t>Sur le plan quantitatif, la défenderesse avance l'argument selon lequel le demandeur, à partir du moment où il percevrait la rente versée par la CGP au titre de la retraite anticipée, n'aurait plus droit, jusqu'à ce qu'il atteigne l'âge de la retraite ordinaire, qu'à un montant maximum de 1'940 fr. par mois. Cet argument n'est pas fondé. Les prestations de la caisse de prévoyance ne doivent être imputées que si et dans la mesure où elles constituent des prestations supplémentaires. En revanche, leur imputation ne se justifie pas lorsque, en raison du versement anticipé des prestations de vieillesse, les prestations futures s'en trouvent réduites, comme c'est ici le cas.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4 juillet 1996 est ainsi libellé: "Durant la période du 01.05.2002 (début de la retraite CGP) jusqu'au 31.07.2005 inclus (âge de la retraite AVS), Swissair vous versera mensuellement un montant de fr. 1'940.--". Du passage cité, on ne peut rien déduire d'autre que la fixation de la date à partir de laquelle ce montant devait être versé et l'indication du motif, énoncé entre parenthèses, pour lequel cette date a été retenue.</w:t>
      </w:r>
    </w:p>
    <w:p>
      <w:r>
        <w:rPr>
          <w:b/>
        </w:rPr>
        <w:t>E. 7</w:t>
      </w:r>
    </w:p>
    <w:p>
      <w:r>
        <w:t>Les considérations qui précèdent conduisent au rejet du recours.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