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4C.44/2006 vom 8. August 2007</w:t>
      </w:r>
    </w:p>
    <w:p>
      <w:r>
        <w:t>Bundesgericht, 2007-08-08, DE</w:t>
      </w:r>
    </w:p>
    <w:p>
      <w:r>
        <w:rPr>
          <w:b/>
        </w:rPr>
        <w:t xml:space="preserve">Quelle: </w:t>
      </w:r>
      <w:r>
        <w:t>https://mcp.opencaselaw.ch/entscheid/bger_4C.44_2006</w:t>
      </w:r>
    </w:p>
    <w:p>
      <w:r>
        <w:t>FR: TF 4C.44/2006 du 8 août 2007</w:t>
      </w:r>
    </w:p>
    <w:p>
      <w:r>
        <w:t>IT: TF 4C.44/2006 del 8 agosto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Der Kläger wirft der Vorinstanz vor, Art. 394 ff. OR , insbesondere Art. 398 OR , verletzt zu haben. Entgegen der Meinung der Vorinstanz seien sämtliche Voraussetzungen für eine Haftung des Beklagten erfüllt.</w:t>
      </w:r>
    </w:p>
    <w:p>
      <w:r>
        <w:t>Die Vorinstanz bejahte eine Sorgfaltspflichtverletzung des Beklagten. Die Frage des Kausalzusammenhangs liess sie offen, da sie zum Schluss gelangte, dass es bereits an der gehörigen Substantiierung des Schadens und an dessen Nachweis mangle. Sie folgte der Auffassung des Klägers nicht, der in den Schreiben des Beklagten an die D.________ Versicherungen vom 27. Juli 2001 und vom 14. Dezember 2001 ein aussergerichtliches Zugeständnis des Beklagten betreffend die Schadenshöhe erblickt und daher den Schaden für nicht beweispflichtig hält. Die Vorinstanz erwog, im Schreiben vom 27. Juli 2001 habe der Beklagte bloss erklärt, welchen Schadensbetrag der Kläger geltend mache ("Mein Mandant beziffert den Schaden wie folgt"), und die Adressatin um entsprechende Regulierung des Falls ersucht. Nicht anders präsentiere sich die Sache aufgrund des Schreibens vom 14. Dezember 2001, worin der Beklagte gestützt auf die Ermächtigung des Klägers einen Vergleich über die Hälfte des behaupteten - und offensichtlich damals schon bestrittenen - Schadens offeriert habe. Damit lasse sich nicht eine Anerkennung des Schadens durch den Beklagten im vorliegenden Prozess konstruieren. Ganz allgemein sei festzuhalten, dass ein Anwalt, der im Streitfall die Darstellung seines Klienten vertrete, sich diese nicht persönlich zu eigen mache und er auch nicht darauf behaftet werden könne. Dies gelte umso mehr, wenn er der Gegenpartei lediglich mitteile, was sein Mandant fordere.</w:t>
      </w:r>
    </w:p>
    <w:p>
      <w:r>
        <w:t>Was der Kläger dagegen vorbringt, vermag keine Verletzung von Bundesrecht zu begründen. Seine Ausführungen zur Sorgfaltspflichtverletzung stossen ins Leere, hat doch die Vorinstanz eine solche bejaht. Der Beurteilung der beiden Schreiben des Beklagten an die D.________ Versicherungen vom 27. Juli 2001 und vom 14. Dezember 2001 durch die Vorinstanz stellt der Kläger lediglich seine eigene Auffassung entgegen. Diese Darlegungen helfen ihm indes nicht weiter, soweit sie sich nicht ohnehin als im Berufungsverfahren unzulässige Kritik an der vorinstanzlichen Beweiswürdigung erweisen ( BGE 130 III 136 E. 1.4; 127 III 73 E. 6a S. 81, 543 E. 2c S. 547). Darauf ist nicht einzutreten. Dass die Vorinstanz aus den beiden genannten Schreiben kein Zugeständnis des Schadens durch den Beklagten ableitete, stellt keine Bundesrechtsverletzung dar. Eine Verletzung von Art. 394 ff. OR , insbesondere von Art. 398 OR , ist somit nicht dargetan.</w:t>
      </w:r>
    </w:p>
    <w:p>
      <w:r>
        <w:rPr>
          <w:b/>
        </w:rPr>
        <w:t>E. 3</w:t>
      </w:r>
    </w:p>
    <w:p>
      <w:r>
        <w:t>Ebenso wenig liegt eine vom Kläger gerügte Verletzung von Art. 8 ZGB vor. Da die Vorinstanz nicht von einem Zugeständnis des Schadens auszugehen hatte, auferlegte sie den Beweis für den Schaden zu Recht dem Kläger.</w:t>
      </w:r>
    </w:p>
    <w:p>
      <w:r>
        <w:rPr>
          <w:b/>
        </w:rPr>
        <w:t>E. 4</w:t>
      </w:r>
    </w:p>
    <w:p>
      <w:r>
        <w:t>Der Kläger macht sodann eine Verletzung von Art. 46 VVG geltend.</w:t>
      </w:r>
    </w:p>
    <w:p>
      <w:r>
        <w:t>Diese Rüge kann nicht nachvollzogen werden. Es trifft nicht zu, wie der Kläger ausführt, dass die Vorinstanz die Auffassung vertreten habe, die Frage der Verjährung sei gar nicht zu prüfen. In Bezug auf den Kausalzusammenhang war fraglich, ob die D.________ Versicherungen an der Verjährungseinrede festgehalten haben. Die Vorinstanz konnte jedoch die Frage des Kausalzusammenhangs offen lassen, da sie die Klage bereits mangels Substantiierung und Beweises des Schadens abwies. Indem der Kläger das Gegenteil behauptet und erneut auf der Meinung beharrt, der Schaden sei vom Beklagten zugestanden worden und daher nicht mehr beweisbedürftig gewesen, vermag er keine Verletzung von Art. 46 VVG aufzuzeigen.</w:t>
      </w:r>
    </w:p>
    <w:p>
      <w:r>
        <w:rPr>
          <w:b/>
        </w:rPr>
        <w:t>E. 5</w:t>
      </w:r>
    </w:p>
    <w:p>
      <w:r>
        <w:t>Die Berufung ist abzuweisen, soweit darauf eingetreten werden kann. Bei diesem Ausgang des Verfahrens wird der Kläger kostenpflichtig ( Art. 156 Abs. 1 OG ).</w:t>
      </w:r>
    </w:p>
    <w:p>
      <w:r>
        <w:t>Der Beklagte hat sich im bundesgerichtlichen Verfahren nicht anwaltlich vertreten lassen, sondern handelt als Anwalt in eigener Sache. Einer nicht anwaltlich vertretenen Partei wird gemäss bundesgerichtlicher Praxis grundsätzlich keine Parteientschädigung zugesprochen, ausser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 BGE 129 II 297 E. 5 S. 304; 125 II 518 E. 5b S. 519 f. mit Hinweisen). Diese Voraussetzungen sind vorliegend nicht erfüllt und werden vom Beklagten auch nicht aufgezeigt. Daher steht ihm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