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4C.447/2006 vom 27. August 2007</w:t>
      </w:r>
    </w:p>
    <w:p>
      <w:r>
        <w:t>Bundesgericht, 2007-08-27, FR</w:t>
      </w:r>
    </w:p>
    <w:p>
      <w:r>
        <w:rPr>
          <w:b/>
        </w:rPr>
        <w:t xml:space="preserve">Quelle: </w:t>
      </w:r>
      <w:r>
        <w:t>https://mcp.opencaselaw.ch/entscheid/bger_4C.447_2006</w:t>
      </w:r>
    </w:p>
    <w:p>
      <w:r>
        <w:t>FR: TF 4C.447/2006 du 27 août 2007</w:t>
      </w:r>
    </w:p>
    <w:p>
      <w:r>
        <w:t>IT: TF 4C.447/2006 del 27 agosto 2007</w:t>
      </w:r>
    </w:p>
    <w:p>
      <w:pPr>
        <w:pStyle w:val="Heading2"/>
      </w:pPr>
      <w:r>
        <w:t>Regeste</w:t>
      </w:r>
    </w:p>
    <w:p>
      <w:r>
        <w:t>action en libération de dette; contrat de prêt | Droit des contrats</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1.1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sous réserve de l'examen des griefs soumis au Tribunal fédéral.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La partie recourante n'est pas autorisée à critiquer les constatations de fait ni à alléguer des faits qui n'ont pas été constatés ( art. 55 al. 1 let . c OJ). Si les constatations de la décision attaquée ne sont pas suffisamment complètes pour permettre l'application du droit, le Tribunal fédéral annule ce prononcé et il renvoie la cause à la juridiction cantonale afin que celle-ci prenne une nouvelle décision après complètement de l'état de fait ( art. 64 al. 1 OJ ). Le Tribunal fédéral n'est pas lié par l'argumentation des parties ( art. 63 al. 1 OJ ) et il apprécie librement la portée juridique des faits (art. 43 al. 4, 63 al. 3 OJ). Il peut admettre un recours pour des motifs autres que ceux invoqués par la partie recourante; il peut aussi rejeter un recours en opérant une substitution de motifs, c'est-à-dire en adoptant un raisonnement juridique autre que celui de la juridiction cantonale ( ATF 130 III 136 consid. 1.4 in fine).</w:t>
      </w:r>
    </w:p>
    <w:p>
      <w:r>
        <w:rPr>
          <w:b/>
        </w:rPr>
        <w:t>E. 1.2</w:t>
      </w:r>
    </w:p>
    <w:p>
      <w:r>
        <w:t>Selon la jurisprudence relative à l' art. 150 al. 2 OJ , la partie qui entend obtenir des sûretés en garantie des dépens doit les requérir avant de procéder devant le Tribunal fédéral ( ATF 118 II 87 consid. 2 p. 88; 79 II 295 consid. 3 p. 305; voir aussi ATF 132 I 134 consid. 2.2 p. 137/138). En l'espèce, la défenderesse a déposé sa requête de sûretés alors que le délai de réponse était déjà expiré; elle n'y a donc plus d'intérêt. La défenderesse requiert que le Tribunal fédéral renvoie l'acte de recours au demandeur en application de l' art. 55 al. 2 OJ . Elle allègue que ce document indique un faux domicile, le demandeur ayant, selon ses affirmations, quitté le canton de Genève le 30 décembre 2002 pour se rendre en France. Elle demande à bénéficier d'un nouveau délai de réponse après que l'acte aura été corrigé. L'acte de recours adressé au Tribunal fédéral doit notamment indiquer le nom, le domicile et la désignation exacte des parties ( art. 23 let. a PCF ; art. 40 OJ ). L'indication exacte du domicile ou de la résidence des personnes physiques a pour but de prévenir toute incertitude quant à l'identité des parties. Elle tend en outre à permettre l'application des dispositions relatives aux sûretés ou aux significations, et à favoriser l'exécution des jugements. Lorsqu'une partie est incomplètement ou inexactement désignée, ce vice demeure sans conséquence si le Tribunal fédéral peut déterminer avec certitude qui est cette partie (Jean-François Poudret, Commentaire de la loi fédérale d'organisation judiciaire, ch. 1.2.3 ad art. 55 OJ et ch. 2.4 ad art. 53 OJ ). Or, la défenderesse admet qu'il n'existe aucun doute quant à l'identité du demandeur; pour le surplus, celui-ci étant représenté par un avocat, les significations sont de toute manière faites à ce mandataire. Au regard de cette situation, il n'y a pas lieu de faire corriger l'acte de recours.</w:t>
      </w:r>
    </w:p>
    <w:p>
      <w:r>
        <w:rPr>
          <w:b/>
        </w:rPr>
        <w:t>E. 2</w:t>
      </w:r>
    </w:p>
    <w:p>
      <w:r>
        <w:t>La défenderesse a entrepris contre le demandeur une poursuite en réalisation de gage immobilier fondée sur une cédule hypothécaire au montant de 4'200'000 fr. Cette cédule garantissait les prétentions de la défenderesse consécutives aux crédits que la Banque A.________ avait accordés le 20 octobre 1989. Il s'agissait d'un prêt hypothécaire et d'un crédit en compte courant. Devant le Tribunal fédéral, le demandeur ne conteste plus le droit de la défenderesse d'exercer un droit de gage immobilier sur la base de la cédule hypothécaire. Il ne conteste pas davantage la créance en remboursement du solde du compte courant de 500'000 fr. Il reconnaît également le montant en capital du prêt hypothécaire, par 3'200'000 fr., mais il soutient que ce montant doit être réduit d'un million de francs en application de l' art. 44 CO . Il conteste les taux d'intérêts retenus et l'imputation de certains versements au paiement des intérêts plutôt qu'à l'amortissement du capital.</w:t>
      </w:r>
    </w:p>
    <w:p>
      <w:r>
        <w:rPr>
          <w:b/>
        </w:rPr>
        <w:t>E. 3</w:t>
      </w:r>
    </w:p>
    <w:p>
      <w:r>
        <w:t>Le demandeur reproche à la Cour civile de n'avoir pas correctement appliqué l' art. 3 al. 2 let . c de la loi fédérale sur les banques (LB), ni les articles 44 CO, 2 al. 2 CC, 27 al. 2 CC et 20 CO. Il s'en prend aux deux virements de 500'000 fr. que la banque a effectués le 22 juin 1988; prétendument, ils ne concernaient pas les travaux de transformation en cours sur l'immeuble concerné et ils dépassaient le montant total de 2'900'000 fr. mis à sa disposition pour ces travaux. Agissant ainsi, la banque est sortie du cadre raisonnable qui avait été convenu initialement par les parties; elle a aggravé la situation du demandeur en provoquant un accroissement considérable du passif de celui-ci et elle s'est comportée de manière inconsidérée. Ce montant d'un million de francs doit donc être porté en réduction de la créance en remboursement.</w:t>
      </w:r>
    </w:p>
    <w:p>
      <w:r>
        <w:rPr>
          <w:b/>
        </w:rPr>
        <w:t>E. 3.1</w:t>
      </w:r>
    </w:p>
    <w:p>
      <w:r>
        <w:t>Selon l'argumentation présentée, à la date des deux virements, les parties étaient liées par les clauses du crédit de construction limitant ce crédit à un montant de 2'900'000 fr., déjà débité, et imposant que le montant prêté eût sa contrepartie dans les travaux réalisés sur l'immeuble. La banque aurait donc violé le contrat de crédit de construction en opérant les virements en question. Or, la Cour civile n'a pas constaté de convention, entre les parties, ayant pour objet de limiter de manière absolue le crédit de construction au montant de 2'900'000 fr., ni d'interdire à la banque tout dépassement en vue de protéger les intérêts du débiteur. Par ailleurs, même si ces prélèvements n'avaient aucun lien avec les travaux de transformation, ils sont intervenus sur ordre exprès du demandeur. En y donnant suite, c'est-à-dire en exécutant les ordres reçus au débit du compte de construction, la banque a accepté par actes concluants de mettre à la disposition de son client les montants correspondants à titre de crédit ( art. 1 al. 1 CO ). L'accord des parties a pu porter sur l'augmentation du prêt initial ou sur un nouveau prêt; de toute manière, un contrat a été valablement conclu pour les montants concernés et il lie le demandeur. A cela s'ajoute que par la suite, celui-ci a accepté le dépassement qu'il reproche à la banque. En effet, le demandeur a sollicité en septembre 1989 la consolidation et l'augmentation du crédit de construction pour un montant total de 5'000'000 de fr. La banque refusa mais elle proposa au demandeur une solution portant sur 4'000'000 de fr., sous diverses conditions. Finalement, les parties s'entendirent sur les termes de l'accord de consolidation du 20 octobre 1989. A cette date, le solde débiteur du compte, sur lequel avaient été prélevés les montants litigieux, s'élevait à 4'048'696 fr.25. En sollicitant une augmentation du montant du prêt et en concluant les contrats de crédit du 20 octobre 1989, sur lesquels se fondent les créances litigieuses, le demandeur a ratifié un éventuel dépassement de crédit antérieur.</w:t>
      </w:r>
    </w:p>
    <w:p>
      <w:r>
        <w:rPr>
          <w:b/>
        </w:rPr>
        <w:t>E. 3.2</w:t>
      </w:r>
    </w:p>
    <w:p>
      <w:r>
        <w:t>Dans une argumentation quelque peu confuse, le demandeur fait aussi valoir qu'en opérant ces deux versements de 500'000 fr. chacun, la banque a aggravé la situation du débiteur en augmentant massivement le passif qui résultait d'un financement démesuré. La banque aurait violé le devoir de diligence qui lui est imposé par l' art. 3 al. 2 let . c LB en prêtant un montant supérieur à la valeur de l'immeuble mis en gage. Elle se serait comportée de manière inconsidérée en plaçant son cocontractant dans un état de dépendance financière tel que la seule issue possible fût une dénonciation abrupte du contrat. En réalité, le demandeur reproche surtout à la banque d'avoir mal exécuté ses devoirs d'information, grief auquel il renonce pourtant expressément « faute d'avoir été en mesure d'établir certains éléments de fait devant fonder ledit moyen ». Quel que soit le fondement de la responsabilité de la banque (devoir de diligence, principe de la bonne foi ou devoir d'information spécifique), les reproches du demandeur ne trouvent aucun appui dans les faits constatés par la Cour civile. Selon cette autorité, il n'est pas établi qu'en octobre 1989, lorsque le crédit a été consolidé et porté à 4'000'000 de fr., la valeur de l'immeuble fût sensiblement inférieure à ce montant. La Cour a également admis que le demandeur avait accepté en connaissance de cause le risque lié à l'octroi d'un nouveau crédit et que la défenderesse n'avait pas violé les devoirs d'information incombant à une banque dispensatrice de crédit. Cette partie n'a ainsi violé aucune obligation contractuelle ni aucun devoir légal qui entraînerait sa responsabilité et qui pourrait conduire à une réduction de sa créance en application de l' art. 44 CO . Il n'y a donc pas lieu de réduire d'un million de francs le total des capitaux à rembourser.</w:t>
      </w:r>
    </w:p>
    <w:p>
      <w:r>
        <w:rPr>
          <w:b/>
        </w:rPr>
        <w:t>E. 4</w:t>
      </w:r>
    </w:p>
    <w:p>
      <w:r>
        <w:t>Le demandeur conteste que le taux d'intérêt de 9,5% fût applicable au moment de la résiliation du contrat de compte courant avec effet au 11 décembre 1992. Il soutient que le taux convenu au moment de la consolidation était de 7% et que la défenderesse n'a ni allégué ni établi que l'augmentation subséquente de ce taux correspondît à l'accord des parties; en outre, que la banque ne l'a pas informé de l'augmentation des taux d'intérêts avant leur mise en vigueur. Des constatations de fait qui lient le Tribunal fédéral, il ressort qu'aux termes de l'accord conclu le 20 octobre 1989, la défenderesse a octroyé au recourant au crédit en compte courant de 800'000 fr.; ce crédit portait intérêts à 7% l'an, plus une commission trimestrielle, ces conditions demeurant sujettes aux modifications qui pouvaient résulter de l'évolution du marché des capitaux. Il n'est pas établi que des extraits de ce compte aient été adressés au demandeur à la fin de chaque trimestre. En revanche, il a été constaté définitivement que ce compte a fait l'objet d'écritures de clôture et d'un report du solde à la fin de chaque trimestre dès le 31 mars 1990, ainsi que d'une écriture de clôture le 30 septembre 1992, qui comptabilisait un intérêt de 9% jusqu'au 19 août 1992, puis un intérêt de 9 ½ % du 20 août 1992 au 30 septembre 1992, portant le solde reporté à 794'702 fr.70. Le demandeur avait donc connaissance de ces taux dès cette date et on ne peut pas le suivre là où il prétend n'avoir eu connaissance du taux d'intérêt de 9 ½ % qu'au moment où la résiliation du contrat de compte courant a pris effet. Il n'apparaît pas que le demandeur ait contesté les taux d'intérêts appliqués dans le délai d'un mois comme le lui imposaient les conditions générales de la banque. Il y a donc eu novation du capital, des intérêts et des commissions échus à cette même date ( art. 117 al. 2 CO ; ATF 130 III 694 consid. 2.3 p. 698). En outre, le demandeur a tacitement approuvé le taux en question, de sorte qu'il doit les intérêts calculés sur cette base. Sa lettre à la banque du 14 avril 1993, par laquelle il conteste les taux d'intérêts appliqués, a été envoyée plus de six mois après cet avis de clôture; elle ne lui est donc d'aucun secours. Le Tribunal fédéral peut se dispenser d'examiner si la banque avait l'obligation d'informer son client de l'augmentation du taux d'intérêts avant sa mise en vigueur, selon l'argumentation présentée, et, dans l'affirmative, si elle a correctement satisfait à cette obligation. De toute manière, après avoir ratifié les écritures de clôture du 30 septembre 1992, le demandeur n'est pas en droit de contester le taux appliqué.</w:t>
      </w:r>
    </w:p>
    <w:p>
      <w:r>
        <w:rPr>
          <w:b/>
        </w:rPr>
        <w:t>E. 5</w:t>
      </w:r>
    </w:p>
    <w:p>
      <w:r>
        <w:t>Le demandeur se plaint d'une violation de l' art. 85 CO et fait valoir qu'en vertu de l' art. 69 al. 2 CO , les paiements effectués après la dénonciation du contrat de compte courant devaient être imputés à l'amortissement du capital plutôt qu'aux intérêts, dont il conteste d'ailleurs le taux. L' art. 85 al. 1 CO prévoit que le débiteur ne peut imputer un paiement partiel sur le capital qu'en tant qu'il n'est pas en retard pour les intérêts ou les frais. Une solution différente peut être prévue par les parties (Denis Loertscher, Commentaire romand, ch. 3 ad 85 CO). Le demandeur ne prétend pas qu'un tel accord existât. Il ne prétend pas davantage qu'il aurait déclaré imputer les paiements sur le capital, au moment où ils les a faits. La Cour civile constate d'ailleurs que ces paiements ont eu lieu à titre d'intérêts. Enfin, à supposer même que le demandeur ait dûment contesté le taux de l'intérêt appliqué, ce qui n'est pas le cas, il ne met pas en doute que des intérêts fussent dus dès la résiliation, de sorte que les conditions de l' art. 85 al. 1 CO ne sont pas remplies.</w:t>
      </w:r>
    </w:p>
    <w:p>
      <w:r>
        <w:rPr>
          <w:b/>
        </w:rPr>
        <w:t>E. 6</w:t>
      </w:r>
    </w:p>
    <w:p>
      <w:r>
        <w:t>Le demandeur soutient que les intérêts moratoires sur le prêt hypothécaire doivent être calculés au taux de 4 ½ % dès le 1er septembre 1993, au lieu du taux de 7% retenu par la Cour civile. Cette autorité retient que le prêt hypothécaire portait intérêts au taux de 7% l'an, payables le 30 juin et le 31 décembre de chaque année, la banque se réservant le droit d'adapter le taux en tout temps selon l'évolution du marché des capitaux. Le prêt hypothécaire a été dénoncé au remboursement par lettre du 3 décembre 1992 pour le 30 juin 1993. La défenderesse a comptabilisé un taux d'intérêt de 7% jusqu'au 31 août 1993; au-delà de cette date, elle a appliqué « à bien plaire » un taux réduit de 4 ½ %. Selon les juges, on ne saurait en déduire que la banque ait voulu déroger à l' art. 104 al. 2 CO . Selon le demandeur, dès septembre 1993, les parties ont conventionnellement adopté un taux d'intérêts moratoires inférieur au taux légal de 5% et au taux conventionnel de 7%, et le taux de 4 ½ % doit être appliqué à compter de ce même mois.</w:t>
      </w:r>
    </w:p>
    <w:p>
      <w:r>
        <w:rPr>
          <w:b/>
        </w:rPr>
        <w:t>E. 6.1</w:t>
      </w:r>
    </w:p>
    <w:p>
      <w:r>
        <w:t>En vertu de l' art. 104 al. 2 CO , lorsque les parties règlent conventionnellement les intérêts contractuels mais pas les intérêts moratoires, le taux applicable aux intérêts moratoires est le taux conventionnel, pour autant que ce dernier soit supérieur ou égal à 5%. En l'espèce, il convient d'examiner si, comme le prétend le demandeur, les parties ont modifié le taux d'intérêts par actes concluants dès le 1er septembre 1993, ou si elles ont convenu d'une remise de dette, également par actes concluants. La remise de dette ( art. 115 CO ) est un contrat bilatéral par lequel le créancier et le débiteur conviennent d'éteindre une créance ou un rapport juridique ( ATF 131 III 586 consid. 4.2.3.4 p. 593; Pierre Engel, Traité des obligations en droit suisse, 2e éd., p. 761; Rainer Gonzenbach, Commentaire bâlois, 4e éd., ch. 1 et 4 ad art. 115 CO ). La remise de dette peut également être convenue par actes concluants ( ATF 52 II 215 consid. 5 p. 220). Le fardeau de la preuve incombe au débiteur qui se prévaut d'une remise de dette ( art. 8 CC ). Le juge doit ne retenir qu'avec prudence une offre de remise de dette exprimée par actes concluants du créancier ( ATF 109 II 327 consid. 2b p. 329/330; 52 II 215 consid. 5 in fine p. 222; Engel, op. cit., p. 762; Denis Piotet, Commentaire romand, ch. 22 ad art. 115 CO ) car, en règle générale et sauf circonstances particulières, nul ne renonce sans contrepartie à une prétention. La renonciation du créancier ne peut être ainsi admise que si son attitude, interprétée selon le principe de la confiance, peut être comprise dans le cas particulier comme manifestant clairement sa volonté de renoncer définitivement à tout ou partie de la créance ( ATF 110 II 344 consid. 2b p. 345; Viktor Aepli, Commentaire zurichois, ch. 30 ad art. 115 CO ). Il s'agit donc d'examiner en l'espèce si, en percevant à bien plaire un intérêt de 4 ½ % au lieu de l'intérêt de 7% convenu depuis le 1er septembre 1993, la banque a offert de modifier le contrat de prêt initial ou de remettre partiellement la dette d'intérêts de son client.</w:t>
      </w:r>
    </w:p>
    <w:p>
      <w:r>
        <w:rPr>
          <w:b/>
        </w:rPr>
        <w:t>E. 6.2</w:t>
      </w:r>
    </w:p>
    <w:p>
      <w:r>
        <w:t>Confronté à un litige sur l'interprétation des manifestations de volonté,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pas être contestée par la voie du recours en réforme ( ATF 131 III 606 consid. 4.1 p. 611; 129 III 618 consid. 3 p. 620, 129 III 664 consid. 3.1 p. 667). Déterminer ce que les parties savent ou veulent au moment de conclure relève en effet de la constatation des faits ( ATF 131 III 606 , ibidem; 128 III 419 consid. 2.2 p. 422).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 ATF 132 III 24 consid. 4 p. 27/28). Le principe de la confiance permet d'imputer à une partie le sens objectif de sa déclaration ou de son comportement, même si celui-ci ne correspond pas à sa volonté intime ( ATF 131 III 606 consid. 4.1 p. 611; 130 III 417 consid. 3.2 p. 424; 129 III 118 consid. 2.5 p. 123, 664 consid. 3.1 p. 667). L'application du principe de la confiance est une question de droit que le Tribunal fédéral, saisi d'un recours en réforme, examine librement. Pour résoudre cette question de droit, il doit cependant se fonder sur le contenu de la manifestation de volonté concernée et sur les circonstances dans lesquelles elle est intervenue, points qui relèvent du fait ( ATF 132 III 24 consid. 4 p. 28; 131 III 606 consid. 4.1 p. 611; 130 III 417 consid. 3.2 p. 425). En l'espèce, l'état de fait du jugement attaqué ne contient aucune constatation quant à une volonté réelle et concordante des parties ayant pour objet un taux d'intérêts réduit ou une remise de dette partielle. L'interprétation des déclarations de volonté selon le principe de la confiance ne permet pas d'admettre une convention correspondant à l'argumentation du demandeur. On peut certes admettre que ce dernier, débiteur, avait un intérêt évident à accepter, même tacitement, un intérêt réduit (cf. ATF 52 II 215 consid. 5). En revanche, l'application « à bien plaire » d'un taux de 4 ½ %, par la banque, ne signifie pas encore que celle-ci entendît réduire définitivement le taux de 7% convenu entre les parties, ni qu'elle voulût éteindre partiellement la dette d'intérêts. Au regard des circonstances et compte tenu, en particulier, du fait que la réduction du taux est intervenue après la résiliation des contrats de crédit, l'attitude de la banque peut au contraire être comprise comme un « sursis » destiné à favoriser le remboursement des montants réclamés. Le demandeur conteste que la réduction ne soit intervenue que « à bien plaire » mais il n'invoque aucun élément de fait propre à fonder son argumentation. La Cour civile n'a donc pas violé le droit fédéral en jugeant que le taux d'intérêt de 7% continuait à s'appliquer dès septembre 1993.</w:t>
      </w:r>
    </w:p>
    <w:p>
      <w:r>
        <w:rPr>
          <w:b/>
        </w:rPr>
        <w:t>E. 7</w:t>
      </w:r>
    </w:p>
    <w:p>
      <w:r>
        <w:t>La Cour civile a jugé que les parties ont voulu laisser subsister les créances issues des deux contrats de crédit, d'une part, et la créance incorporée dans la cédule hypothécaire, d'autre part, celle-ci venant garantir et doubler celles-là. Le demandeur conteste le droit de la défenderesse de réclamer par voie de poursuite le montant total de la cédule hypothécaire au motif que les créances fondées sur les contrats de crédit sont au total moins élevées. Ce grief sera rejeté sans plus de discussion car le total des créances garanties est au contraire supérieur au montant de la cédule; la défenderesse est donc autorisée à faire valoir l'intégralité de la créance abstraite incorporée dans ce document ( ATF 115 II 149 ).</w:t>
      </w:r>
    </w:p>
    <w:p>
      <w:r>
        <w:rPr>
          <w:b/>
        </w:rPr>
        <w:t>E. 8</w:t>
      </w:r>
    </w:p>
    <w:p>
      <w:r>
        <w:t>Le recours en réforme se révèle privé de fondement, ce qui conduit à son rejet. A titre de partie qui succombe, le demandeur doit acquitter l'émolument à percevoir par le Tribunal fédéral et les dépens auxquels l'autre partie peut prétendre (art. 156 al. 1 et 159 al. 1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