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4C.444/2004 vom 5. August 2005</w:t>
      </w:r>
    </w:p>
    <w:p>
      <w:r>
        <w:t>Bundesgericht, 2005-08-05, FR</w:t>
      </w:r>
    </w:p>
    <w:p>
      <w:r>
        <w:rPr>
          <w:b/>
        </w:rPr>
        <w:t xml:space="preserve">Quelle: </w:t>
      </w:r>
      <w:r>
        <w:t>https://mcp.opencaselaw.ch/entscheid/bger_4C.444_2004</w:t>
      </w:r>
    </w:p>
    <w:p>
      <w:r>
        <w:t>FR: TF 4C.444/2004 du 5 août 2005</w:t>
      </w:r>
    </w:p>
    <w:p>
      <w:r>
        <w:t>IT: TF 4C.444/2004 del 5 agosto 2005</w:t>
      </w:r>
    </w:p>
    <w:p>
      <w:pPr>
        <w:pStyle w:val="Heading2"/>
      </w:pPr>
      <w:r>
        <w:t>Regeste</w:t>
      </w:r>
    </w:p>
    <w:p>
      <w:r>
        <w:t>contrat de travail | Droit des contrats</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3</w:t>
      </w:r>
    </w:p>
    <w:p>
      <w:r>
        <w:t>Dans un premier moyen, la défenderesse reproche aux juges précédents d'avoir violé l' art. 8 CC en n'administrant aucune preuve sur la question de savoir quel montant le demandeur percevra dans la procédure concordataire concernant SAirGroup. A son avis, les constatations de l'autorité cantonale devraient être complétées sur ce point ( art. 64 al. 1 OJ ).</w:t>
      </w:r>
    </w:p>
    <w:p>
      <w:r>
        <w:rPr>
          <w:b/>
        </w:rPr>
        <w:t>E. 3.1.1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3.1.2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le demandeur touchera dans le cadre du concordat de SAirGroup. 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 Au regard de ces principes, rien n'interdisait au demandeur de s'en prendre exclusivement à la défenderesse pour l'exécution intégrale de l'obligation litigieuse. Qu'il eût l'espoir d'être désintéressé un jour par la débitrice en liquidation concordataire ne l'empêchait nullement d'ouvrir action contre une autre partie qu'il considérait comme débitrice solidaire de la même obligation, ni de réclamer à cette partie la totalité du montant impayé. La somme que le demandeur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3.1.3</w:t>
      </w:r>
    </w:p>
    <w:p>
      <w:r>
        <w:t>Dans le même contexte, on peut encore relever - ce qui semble avoir échappé à la défenderesse, bien que la cour cantonale le constate expressément dans son arrêt - que les différents messages électroniques échangés entre la direction de Swissport et le commissaire au sursis de SAirGroup révèlent que ce dernier considérait Swissport comme étant la seule débitrice des montants dus au titre de la préretraite, à l'exclusion de SAirGroup.</w:t>
      </w:r>
    </w:p>
    <w:p>
      <w:r>
        <w:rPr>
          <w:b/>
        </w:rPr>
        <w:t>E. 4</w:t>
      </w:r>
    </w:p>
    <w:p>
      <w:r>
        <w:t>La défenderesse soutient, par ailleurs, que les juges d'appel ont violé l' art. 18 CO en interprétant son courrier du 13 août 1999 en ce sens qu'elle y aurait pris des engagements propres envers le demandeur.</w:t>
      </w:r>
    </w:p>
    <w:p>
      <w:r>
        <w:rPr>
          <w:b/>
        </w:rPr>
        <w:t>E. 4.1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On ne voit pas en quoi la cour cantonale aurait méconnu ces principes. Sans doute n'est-il pas certain, sur le vu des motifs énoncés dans l'arrêt attaqué, qu'elle soit parvenue à dégager la volonté réelle des parties. Cela n'est toutefois pas décisif. En effet, dans la mesure où les juges d'appel ont admis que le texte de la lettre de la défenderesse du 13 août 1999 était clair, ils ont aussi considéré, par là même, que le demandeur pouvait comprendre de bonne foi ce courrier dans son sens littéral. La lettre, par laquelle le demandeur a été informé de sa mise à la retraite anticipée et des prestations auxquelles ce nouveau statut lui donnerait droit, a été écrite au nom de la défenderesse et sur papier portant l'en-tête de celle-ci. Il y est indiqué à plusieurs reprises que ces prestations seront versées par la défenderesse. Ce courrier comporte également un renvoi, sous la rubrique "Annexes", à un document intitulé "Plan social Swissport Genève SA 1998". Aussi n'apparaît-il pas que le demandeur, au moment où il avait accepté la modification contractuelle résultant de ce courrier, ait dû déduire du texte de cet écrit et des circonstances que ce n'était pas la défenderesse, mais SAirGroup, qui entendait s'y obliger envers lui. Peu importe, à cet égard, de savoir qui a mis à disposition les fonds nécessaires au versement des prestations promises et qui a procédé aux paiements courants. Il n'y a, en effet, rien d'extraordinaire, dans un groupe de sociétés, à ce que les paiements soient opérés par une autre société que celle qui a contracté une dette déterminée. Connaître l'identité de la société qui assume le risque économique n'est pas davantage décisif. Que les différentes sociétés faisant partie du même groupe aient une personnalité juridique propre implique qu'une société qui a souscrit un engagement contractuel réponde de l'exécution de cet engagement envers le créancier quand bien même, d'après l'organisation interne du groupe, une autre société membre de celui-ci devrait supporter le risque économique correspondant. Il en va également ainsi lorsqu'une autre société appartenant au même groupe s'engage aux côtés de la première à l'égard du créancier. Il est, dès lors, sans aucune importance, en l'espèce, que le demandeur ait aussi fait valoir ses prétentions contre la société-mère. L'éventuelle coresponsabilité de cette dernière à son endroit ne saurait, en effet, libérer la défenderesse de sa propre dette aussi longtemps que l'obligation n'a pas encore été exécutée intégralement. La défenderesse tente en vain de tirer argument de ce que les prestations prévues dans son plan social correspondent à celles figurant dans le plan social de la société-mère pour en déduire que c'est cette dernière, et non la société-fille recherchée, qui serait seule responsable de leur versement. En effet, outre que ces prestations étaient conformes au plan social mis sur pied par la défenderesse, auquel celle-ci se référait expressément dans sa lettre au demandeur, il n'est pas interdit à un employeur de promettre à ses travailleurs les prestations qui ont été convenues dans un plan social établi par une autre société. Qu'à l'époque, le demandeur ait pu faire davantage confiance à la société-mère qu'à la défenderesse n'est pas non plus déterminant. En l'espèce, seul est décisif le point de savoir si la défenderesse est le sujet passif des créances litigieuses. L'éventuelle coresponsabilité de la société-mère est une question exorbitante du procès pendant. Et le simple fait que, dans l'esprit du demandeur, une coresponsabilité de la société-mère était peut-être souhaitable à l'époque ne permet pas d'en conclure que les parties ont voulu exclure toute responsabilité de la société-fille.</w:t>
      </w:r>
    </w:p>
    <w:p>
      <w:r>
        <w:rPr>
          <w:b/>
        </w:rPr>
        <w:t>E. 5</w:t>
      </w:r>
    </w:p>
    <w:p>
      <w:r>
        <w:t>Comme la défenderesse s'est engagée personnellement envers le demandeur à lui verser les prestations en cause, la question de l'applicabilité de l' art. 333 CO ne se pose pas en l'espèce. Aussi la défenderesse lui consacre-t-elle en vain de longs développements dans son mémoire de recours. De fait, le contrat relatif à la retraite anticipée n'a été conclu ici, par la reprenante et le demandeur, qu'une fois opéré le transfert de l'entreprise.</w:t>
      </w:r>
    </w:p>
    <w:p>
      <w:r>
        <w:rPr>
          <w:b/>
        </w:rPr>
        <w:t>E. 6.1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l'employeur dans sa lettre du 13 août 1999, où il précisait les engagements souscrits par lui envers le demandeur du chef de la mise en préretraite de ce dernier, doit être interprétée à la lumière du plan social qui a servi de base au calcul des prétentions du demandeur. Le but poursuivi par l'employeur, au moyen des prestations versées au travailleur durant le laps de temps restant à courir jusqu'au moment où celui-ci prendrait sa retraite ordinaire, était de placer l'intéressé dans la situation qui eût été la sienne s'il avait été mis d'emblée au bénéfice du statut de retraité ordinaire. Il fallait aussi éviter que le demandeur subisse une perte sur le capital qui lui serait versé après qu'il aurait atteint l'âge de la retraite ordinaire.</w:t>
      </w:r>
    </w:p>
    <w:p>
      <w:r>
        <w:rPr>
          <w:b/>
        </w:rPr>
        <w:t>E. 6.2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Le demandeur ne s'est ainsi pas enrichi, de sorte que la cour cantonale a refusé à bon droit de procéder à l'imputation requise. Au surplus, si le demandeur avait certes imputé les versements anticipés de la caisse de prévoyance sur les montants réclamés à la défenderesse en exécution de l'accord du 13 août 1999, il avait toutefois conclu à ce que cette dernière l'indemnisât de la perte subie sur ses rentes de vieillesse. Il ne s'agissait là que d'une autre manière de calculer le montant de ses prétentions. Aussi ne saurait-on en déduire, comme le fait à tort la défenderesse, que le demandeur avait consenti lui-même, ce faisant, à l'imputation des prestations de la caisse de prévoyance.</w:t>
      </w:r>
    </w:p>
    <w:p>
      <w:r>
        <w:rPr>
          <w:b/>
        </w:rPr>
        <w:t>E. 6.3</w:t>
      </w:r>
    </w:p>
    <w:p>
      <w:r>
        <w:t>Quant à l'argument de la défenderesse selon lequel le demandeur, à partir du moment où il percevrait la rente versée par la CGP au titre de la retraite anticipée, n'aurait plus droit, jusqu'à ce qu'il atteigne l'âge de la retraite ordinaire, qu'à un montant maximum de 2'010 fr. par mois, il ne fait que répéter l'argument relatif à l'imputation des prestations de la caisse de prévoyance, qui a déjà été réfuté. Celles-ci ne doivent être imputées que si et dans la mesure où elles constituent des prestations supplémentaires. En revanche, comme on l'a déjà souligné,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13 août 1999 est ainsi libellé: "Durant la période du 1er mai 2005 (début de la retraite anticipée CGP/AC) jusqu'au 30 avril 2008, Swissport vous versera mensuellement un montant de fr. 2'010.--". Du passage cité, on ne peut rien déduire d'autre que la fixation de la date à partir de laquelle ce montant devait être versé et l'indication du motif, énoncé entre parenthèses, pour lequel cette date a été retenue.</w:t>
      </w:r>
    </w:p>
    <w:p>
      <w:r>
        <w:rPr>
          <w:b/>
        </w:rPr>
        <w:t>E. 7</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