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4C.438/2004 vom 5. August 2005</w:t>
      </w:r>
    </w:p>
    <w:p>
      <w:r>
        <w:t>Bundesgericht, 2005-08-05, FR</w:t>
      </w:r>
    </w:p>
    <w:p>
      <w:r>
        <w:rPr>
          <w:b/>
        </w:rPr>
        <w:t xml:space="preserve">Quelle: </w:t>
      </w:r>
      <w:r>
        <w:t>https://mcp.opencaselaw.ch/entscheid/bger_4C.438_2004</w:t>
      </w:r>
    </w:p>
    <w:p>
      <w:r>
        <w:t>FR: TF 4C.438/2004 du 5 août 2005</w:t>
      </w:r>
    </w:p>
    <w:p>
      <w:r>
        <w:t>IT: TF 4C.438/2004 del 5 agosto 2005</w:t>
      </w:r>
    </w:p>
    <w:p>
      <w:pPr>
        <w:pStyle w:val="Heading2"/>
      </w:pPr>
      <w:r>
        <w:t>Regeste</w:t>
      </w:r>
    </w:p>
    <w:p>
      <w:r>
        <w:t>contrat de travail | Droit des contrats</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3</w:t>
      </w:r>
    </w:p>
    <w:p>
      <w:r>
        <w:t>Dans un premier moyen, la défenderesse reproche aux juges précédents d'avoir violé l' art. 8 CC en n'administrant aucune preuve sur la question de savoir quel montant la demanderesse percevra dans la procédure concordataire concernant SAirGroup. A son avis, les constatations de l'autorité cantonale devraient être complétées sur ce point ( art. 64 al. 1 OJ ).</w:t>
      </w:r>
    </w:p>
    <w:p>
      <w:r>
        <w:rPr>
          <w:b/>
        </w:rPr>
        <w:t>E. 3.1.1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3.1.2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la demanderesse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à la demanderesse de s'en prendre exclusivement à la défenderesse pour l'exécution intégrale de l'obligation litigieuse. Qu'elle eût l'espoir d'être désintéressée un jour par la débitrice en liquidation concordataire ne l'empêchait nullement d'ouvrir action contre une autre partie qu'elle considérait comme débitrice solidaire de la même obligation, ni de réclamer à cette partie la totalité du montant impayé. La somme que la demanderesse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4</w:t>
      </w:r>
    </w:p>
    <w:p>
      <w:r>
        <w:t>La défenderesse soutient, par ailleurs, que les juges d'appel ont violé l' art. 18 CO en interprétant son courrier du 31 août 1998 en ce sens qu'elle y aurait pris des engagements propres envers la demanderesse.</w:t>
      </w:r>
    </w:p>
    <w:p>
      <w:r>
        <w:rPr>
          <w:b/>
        </w:rPr>
        <w:t>E. 4.1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On ne voit pas en quoi la cour cantonale aurait méconnu ces principes. Sans doute n'est-il pas certain, sur le vu des motifs énoncés dans l'arrêt attaqué, qu'elle soit parvenue à dégager la volonté réelle des parties. Cela n'est toutefois pas décisif. En effet, dans la mesure où les juges d'appel ont admis que le texte de la lettre de la défenderesse du 31 août 1998 était clair, ils ont aussi considéré, par là même, que la demanderesse pouvait comprendre de bonne foi ce courrier dans son sens littéral. La lettre, par laquelle la demanderesse a été informée de sa mise à la retraite anticipée et des prestations auxquelles ce nouveau statut lui donnerait droit, a été écrite au nom de la défenderesse et sur papier portant l'en-tête de celle-ci. Il y est indiqué à plusieurs reprises que ces prestations seront versées par la défenderesse. Ce courrier comporte également un renvoi, sous la rubrique "Annexes", à un document intitulé "Plan social Swissport Genève SA 1998". Aussi n'apparaît-il pas que la demanderesse, au moment où elle avait accepté la modification contractuelle résultant de ce courrier, ait dû déduire du texte de cet écrit et des circonstances que ce n'était pas la défenderesse, mais SAirGroup, qui entendait s'y obliger envers elle. Peu importe, à cet égard, de savoir qui a mis à disposition les fonds nécessaires au versement des prestations promises et qui a procédé aux paiements courants. Il n'y a, en effet, rien d'extraordinaire, dans un groupe de sociétés, à ce que les paiements soient opérés par une autre société que celle qui a contracté une dette déterminée. Connaître l'identité de la société qui assume le risque économique n'est pas davantage décisif. Que les différentes sociétés faisant partie du même groupe aient une personnalité juridique propre implique qu'une société qui a souscrit un engagement contractuel réponde de l'exécution de cet engagement envers le créancier quand bien même, d'après l'organisation interne du groupe, une autre société membre de celui-ci devrait supporter le risque économique correspondant. Il en va également ainsi lorsqu'une autre société appartenant au même groupe s'engage aux côtés de la première à l'égard du créancier. Il est, dès lors, sans aucune importance, en l'espèce, que la demanderesse ait aussi fait valoir ses prétentions contre la société-mère. L'éventuelle coresponsabilité de cette dernière à son endroit ne saurait, en effet, libérer la défenderesse de sa propre dette aussi longtemps que l'obligation n'a pas encore été exécutée intégralement. La défenderesse tente en vain de tirer argument de ce que les prestations prévues dans son plan social correspondent à celles figurant dans le plan social de la société-mère pour en déduire que c'est cette dernière, et non la société-fille recherchée, qui serait seule responsable de leur versement. En effet, outre que ces prestations étaient conformes au plan social mis sur pied par la défenderesse, auquel celle-ci se référait expressément dans sa lettre à la demanderesse, il n'est pas interdit à un employeur de promettre à ses travailleurs les prestations qui ont été convenues dans un plan social établi par une autre société. Qu'à l'époque, la demanderesse ait pu faire davantage confiance à la société-mère qu'à la défenderesse n'est pas non plus déterminant. En l'espèce, seul est décisif le point de savoir si la défenderesse est le sujet passif des créances litigieuses. L'éventuelle coresponsabilité de la société-mère est une question exorbitante du procès pendant. Et le simple fait que, dans l'esprit de la demanderesse, une coresponsabilité de la société-mère était peut-être souhaitable à l'époque ne permet pas d'en conclure que les parties ont voulu exclure toute responsabilité de la société-fille.</w:t>
      </w:r>
    </w:p>
    <w:p>
      <w:r>
        <w:rPr>
          <w:b/>
        </w:rPr>
        <w:t>E. 5</w:t>
      </w:r>
    </w:p>
    <w:p>
      <w:r>
        <w:t>Comme la défenderesse s'est engagée personnellement envers la demanderesse à lui verser les prestations en cause, la question de l'applicabilité de l' art. 333 CO ne se pose pas en l'espèce. Aussi la défenderesse lui consacre-t-elle en vain de longs développements dans son mémoire de recours. De fait, le contrat relatif à la retraite anticipée n'a été conclu ici, par la reprenante et la demanderesse, qu'une fois opéré le transfert de l'entreprise.</w:t>
      </w:r>
    </w:p>
    <w:p>
      <w:r>
        <w:rPr>
          <w:b/>
        </w:rPr>
        <w:t>E. 6.1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 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l'employeur dans sa lettre du 31 août 1998, où il précisait les engagements souscrits par lui envers la demanderesse du chef de la mise en préretraite de cette dernière, doit être interprétée à la lumière du plan social qui a servi de base au calcul des prétentions de la demanderesse. Le but poursuivi par l'employeur, au moyen des prestations versées à la travailleuse durant le laps de temps restant à courir jusqu'au moment où celle-ci prendrait sa retraite ordinaire, était de placer l'intéressée dans la situation qui eût été la sienne si elle avait été mise d'emblée au bénéfice du statut de retraité ordinaire. Il fallait aussi éviter que la demanderesse subisse une perte sur le capital qui lui serait versé après qu'elle aurait atteint l'âge de la retraite ordinaire.</w:t>
      </w:r>
    </w:p>
    <w:p>
      <w:r>
        <w:rPr>
          <w:b/>
        </w:rPr>
        <w:t>E. 6.2</w:t>
      </w:r>
    </w:p>
    <w:p>
      <w:r>
        <w:t>Eu égard au but des versements effectués à titre transitoire par l'employeur, il n'est pas douteux que tant les prestations du premier que du deuxième piliers devaient faire l'objet d'une imputation, pour autant qu'elles visassent à garantir le même revenu pour la même période.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La demanderesse ne s'est ainsi pas enrichie, de sorte que la cour cantonale a refusé à bon droit de procéder à l'imputation requise.</w:t>
      </w:r>
    </w:p>
    <w:p>
      <w:r>
        <w:rPr>
          <w:b/>
        </w:rPr>
        <w:t>E. 6.3</w:t>
      </w:r>
    </w:p>
    <w:p>
      <w:r>
        <w:t>Quant à l'argument de la défenderesse selon lequel la demanderesse, à partir du moment où elle percevrait la rente versée par la CGP au titre de la retraite anticipée, n'aurait plus droit, jusqu'à ce qu'elle atteigne l'âge de la retraite ordinaire, qu'à un montant maximum de 1'990 fr. par mois, il ne fait que répéter l'argument relatif à l'imputation des prestations de la caisse de prévoyance, qui a déjà été réfuté. Celles-ci ne doivent être imputées que si et dans la mesure où elles constituent des prestations supplémentaires. En revanche, comme on l'a déjà souligné,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31 août 1998 est ainsi libellé: "Durant la période du 1er juillet 2004 (début de la retraite anticipée CGP/AC) jusqu'au 31 juillet 2005, Swissport vous versera mensuellement un montant de fr. 1'990.--". Du passage cité, on ne peut rien déduire d'autre que la fixation de la date à partir de laquelle ce montant devait être versé et l'indication du motif, énoncé entre parenthèses, pour lequel cette date a été retenue.</w:t>
      </w:r>
    </w:p>
    <w:p>
      <w:r>
        <w:rPr>
          <w:b/>
        </w:rPr>
        <w:t>E. 7</w:t>
      </w:r>
    </w:p>
    <w:p>
      <w:r>
        <w:t>La Cour d'appel s'est toutefois écartée du texte de l'accord en prolongeant jusqu'au 31 juillet 2007 l'obligation de payer incombant à la défenderesse. La raison en est à rechercher dans l'augmentation, par le législateur, de l'âge de la retraite AVS des femmes de 62 à 64 ans. Que le risque lié à une telle modification légale doive être assumé effectivement par la défenderesse et non par la demanderesse, selon la volonté des parties, apparaît discutable. Cependant, la défenderesse n'a pas soulevé cette question devant les juridictions cantonales et elle ne le fait pas non plus dans son mémoire de recours. Or, il n'incombe pas au Tribunal fédéral d'examiner d'office l'interprétation du contrat sur ce point. Aussi n'y a-t-il pas lieu d'e traiter plus avant cette question.</w:t>
      </w:r>
    </w:p>
    <w:p>
      <w:r>
        <w:rPr>
          <w:b/>
        </w:rPr>
        <w:t>E. 8</w:t>
      </w:r>
    </w:p>
    <w:p>
      <w:r>
        <w:t>Les considérations qui précèdent conduisent au rejet du recours.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l'intimée, elle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