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4C.436/2004 vom 5. August 2005</w:t>
      </w:r>
    </w:p>
    <w:p>
      <w:r>
        <w:t>Bundesgericht, 2005-08-05, FR</w:t>
      </w:r>
    </w:p>
    <w:p>
      <w:r>
        <w:rPr>
          <w:b/>
        </w:rPr>
        <w:t xml:space="preserve">Quelle: </w:t>
      </w:r>
      <w:r>
        <w:t>https://mcp.opencaselaw.ch/entscheid/bger_4C.436_2004</w:t>
      </w:r>
    </w:p>
    <w:p>
      <w:r>
        <w:t>FR: TF 4C.436/2004 du 5 août 2005</w:t>
      </w:r>
    </w:p>
    <w:p>
      <w:r>
        <w:t>IT: TF 4C.436/2004 del 5 agosto 2005</w:t>
      </w:r>
    </w:p>
    <w:p>
      <w:pPr>
        <w:pStyle w:val="Heading2"/>
      </w:pPr>
      <w:r>
        <w:t>Regeste</w:t>
      </w:r>
    </w:p>
    <w:p>
      <w:r>
        <w:t>contrat de travail | Droit des contrats</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3</w:t>
      </w:r>
    </w:p>
    <w:p>
      <w:r>
        <w:t>Dans un premier moyen, la défenderesse reproche aux juges précédents d'avoir violé l' art. 8 CC en n'administrant aucune preuve sur la question de savoir quel montant la demanderesse percevra dans la procédure concordataire concernant SAirGroup. A son avis, les constatations de l'autorité cantonale devraient être complétées sur ce point ( art. 64 al. 1 OJ ).</w:t>
      </w:r>
    </w:p>
    <w:p>
      <w:r>
        <w:rPr>
          <w:b/>
        </w:rPr>
        <w:t>E. 3.1.1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3.1.2</w:t>
      </w:r>
    </w:p>
    <w:p>
      <w:r>
        <w:t>En l'occurrence,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la demanderesse touchera dans le cadre du concordat de SAirGroup. 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 Au regard de ces principes, rien n'interdisait à la demanderesse de s'en prendre exclusivement à la défenderesse pour l'exécution intégrale de l'obligation litigieuse. Qu'elle eût l'espoir d'être désintéressée un jour par la débitrice en liquidation concordataire ne l'empêchait nullement d'ouvrir action contre une autre partie qu'elle considérait comme débitrice solidaire de la même obligation, ni de réclamer à cette partie la totalité du montant impayé. La somme que la demanderesse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4</w:t>
      </w:r>
    </w:p>
    <w:p>
      <w:r>
        <w:t>La défenderesse soutient, par ailleurs, que les juges d'appel ont violé l' art. 18 CO en interprétant son courrier du 10 novembre 1998 en ce sens qu'elle y aurait pris des engagements propres envers la demanderesse.</w:t>
      </w:r>
    </w:p>
    <w:p>
      <w:r>
        <w:rPr>
          <w:b/>
        </w:rPr>
        <w:t>E. 4.1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121 III 118 consid. 4b/aa).</w:t>
      </w:r>
    </w:p>
    <w:p>
      <w:r>
        <w:rPr>
          <w:b/>
        </w:rPr>
        <w:t>E. 4.2</w:t>
      </w:r>
    </w:p>
    <w:p>
      <w:r>
        <w:t>On ne voit pas en quoi la cour cantonale aurait méconnu ces principes. Sans doute n'est-il pas certain, sur le vu des motifs énoncés dans l'arrêt attaqué, qu'elle soit parvenue à dégager la volonté réelle des parties. Cela n'est toutefois pas décisif. En effet, dans la mesure où les juges d'appel ont admis que le texte de la lettre de la défenderesse du 10 novembre 1998 était clair, ils ont aussi considéré, par là même, que la demanderesse pouvait comprendre de bonne foi ce courrier dans son sens littéral. La lettre, par laquelle la demanderesse a été informée de sa mise à la retraite anticipée et des prestations auxquelles ce nouveau statut lui donnerait droit, a été écrite au nom de la défenderesse et sur papier portant l'en-tête de celle-ci. Il y est indiqué à plusieurs reprises que ces prestations seront versées par la défenderesse. Ce courrier comporte également un renvoi, sous la rubrique "Annexes", à un document intitulé "Plan social Swissport Genève SA 1998". Aussi n'apparaît-il pas que la demanderesse, au moment où elle avait accepté la modification contractuelle résultant de ce courrier, ait dû déduire du texte de cet écrit et des circonstances que ce n'était pas la défenderesse, mais SAirGroup, qui entendait s'y obliger envers elle. Peu importe, à cet égard, de savoir qui a mis à disposition les fonds nécessaires au versement des prestations promises et qui a procédé aux paiements courants. Il n'y a, en effet, rien d'extraordinaire, dans un groupe de sociétés, à ce que les paiements soient opérés par une autre société que celle qui a contracté une dette déterminée. Connaître l'identité de la société qui assume le risque économique n'est pas davantage décisif. Que les différentes sociétés faisant partie du même groupe aient une personnalité juridique propre implique qu'une société qui a souscrit un engagement contractuel réponde de l'exécution de cet engagement envers le créancier quand bien même, d'après l'organisation interne du groupe, une autre société membre de celui-ci devrait supporter le risque économique correspondant. Il en va également ainsi lorsqu'une autre société appartenant au même groupe s'engage aux côtés de la première à l'égard du créancier. Il est, dès lors, sans aucune importance, en l'espèce, que la demanderesse ait aussi fait valoir ses prétentions contre la société-mère. L'éventuelle coresponsabilité de cette dernière à son endroit ne saurait, en effet, libérer la défenderesse de sa propre dette aussi longtemps que l'obligation n'a pas encore été exécutée intégralement. La défenderesse tente en vain de tirer argument de ce que les prestations prévues dans son plan social correspondent à celles figurant dans le plan social de la société-mère pour en déduire que c'est cette dernière, et non la société-fille recherchée, qui serait seule responsable de leur versement. En effet, outre que ces prestations étaient conformes au plan social mis sur pied par la défenderesse, auquel celle-ci se référait expressément dans sa lettre à la demanderesse, il n'est pas interdit à un employeur de promettre à ses travailleurs les prestations qui ont été convenues dans un plan social établi par une autre société. Qu'à l'époque, la demanderesse ait pu faire davantage confiance à la société-mère qu'à la défenderesse n'est pas non plus déterminant. En l'espèce, seul est décisif le point de savoir si la défenderesse est le sujet passif des créances litigieuses. L'éventuelle coresponsabilité de la société-mère est une question exorbitante du procès pendant. Et le simple fait que, dans l'esprit de la demanderesse, une coresponsabilité de la société-mère était peut-être souhaitable à l'époque ne permet pas d'en conclure que les parties ont voulu exclure toute responsabilité de la société-fille.</w:t>
      </w:r>
    </w:p>
    <w:p>
      <w:r>
        <w:rPr>
          <w:b/>
        </w:rPr>
        <w:t>E. 5</w:t>
      </w:r>
    </w:p>
    <w:p>
      <w:r>
        <w:t>Comme la défenderesse s'est engagée personnellement envers la demanderesse à lui verser les prestations en cause, la question de l'applicabilité de l' art. 333 CO ne se pose pas en l'espèce. Aussi la défenderesse lui consacre-t-elle en vain de longs développements dans son mémoire de recours. De fait, le contrat relatif à la retraite anticipée n'a été conclu ici, par la reprenante et la demanderesse, qu'une fois opéré le transfert de l'entreprise.</w:t>
      </w:r>
    </w:p>
    <w:p>
      <w:r>
        <w:rPr>
          <w:b/>
        </w:rPr>
        <w:t>E. 6.1</w:t>
      </w:r>
    </w:p>
    <w:p>
      <w:r>
        <w:t>Sur le plan quantitatif, enfin, la défenderesse soutient que les juridictions cantonales ont admis, à tort, que les rentes versées par l'institution de prévoyance ne pouvaient pas être imputées sur les montants dus par elle et qu'elles n'ont pas fixé correctement le montant de la prestation transitoire dénommée "Pont AVS". La défenderesse considère, à juste titre, que pour savoir comment la rente transitoire doit être calculée et quelles prestations doivent être imputées, il y a lieu d'interpréter les manifestations de volonté correspondantes. Il va de soi, à cet égard, que la volonté exprimée par l'employeur dans sa lettre du 10 novembre 1998, où il précisait les engagements souscrits par lui envers la demanderesse du chef de la mise en préretraite de cette dernière, doit être interprétée à la lumière du plan social qui a servi de base au calcul des prétentions de la demanderesse. Le but poursuivi par l'employeur, au moyen des prestations versées à la travailleuse durant le laps de temps restant à courir jusqu'au moment où celle-ci prendrait sa retraite ordinaire, était de placer l'intéressée dans la situation qui eût été la sienne si elle avait été mis d'emblée au bénéfice du statut de retraité ordinaire. Il fallait aussi éviter que la demanderesse subisse une perte sur le capital qui lui serait versé après qu'elle aurait atteint l'âge de la retraite ordinaire.</w:t>
      </w:r>
    </w:p>
    <w:p>
      <w:r>
        <w:rPr>
          <w:b/>
        </w:rPr>
        <w:t>E. 6.2</w:t>
      </w:r>
    </w:p>
    <w:p>
      <w:r>
        <w:t>Eu égard au but des versements effectués à titre transitoire par l'employeur, il n'est pas douteux que tant les prestations du premier que du deuxième piliers devaient faire l'objet d'une imputation, pour autant qu'elles visassent à garantir le même revenu pour la même période. Dans cette mesure, la défenderesse soutient avec raison qu'il doit en aller de même en ce qui concerne les versements de la caisse de prévoyance. Mais cela signifie aussi, inversement, que lorsque le travailleur perçoit par anticipation des prestations de vieillesse de la caisse de prévoyance, il n'y a pas matière à imputation si, du fait de ce versement anticipé, les prestations de ladite caisse s'en trouvent réduites. Dans ce cas, en effet, les prestations versées ne le sont pas en plus, mais aux dépens des prétentions futures du travailleur. Comme la Cour d'appel le constate dans son arrêt, sans être contredite par la défenderesse, les montants versés ont fait l'objet d'un abattement par rapport aux montants de la retraite normale. La demanderesse ne s'est ainsi pas enrichie, de sorte que la cour cantonale a refusé à bon droit de procéder à l'imputation requise.</w:t>
      </w:r>
    </w:p>
    <w:p>
      <w:r>
        <w:rPr>
          <w:b/>
        </w:rPr>
        <w:t>E. 6.3</w:t>
      </w:r>
    </w:p>
    <w:p>
      <w:r>
        <w:t>Quant à l'argument de la défenderesse selon lequel la demanderesse, à partir du moment où elle percevrait la rente versée par la CGP au titre de la retraite anticipée, n'aurait plus droit, jusqu'à ce qu'elle atteigne l'âge de la retraite ordinaire, qu'à un montant maximum de 1'990 fr. par mois, il ne fait que répéter l'argument relatif à l'imputation des prestations de la caisse de prévoyance, qui a déjà été réfuté. Celles-ci ne doivent être imputées que si et dans la mesure où elles constituent des prestations supplémentaires. En revanche, comme on l'a déjà souligné, l'imputation ne se justifie pas lorsque, en raison du versement anticipé des prestations de vieillesse, les prestations futures s'en trouvent réduites.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10 novembre 1998 est ainsi libellé: "Durant la période du 1er mai 2003 (début de la retraite anticipée CGP/AC) jusqu'au 30 avril 2004, Swissport vous versera mensuellement un montant de fr. 1'990.--". Du passage cité, on ne peut rien déduire d'autre que la fixation de la date à partir de laquelle ce montant devait être versé et l'indication du motif, énoncé entre parenthèses, pour lequel cette date a été retenue.</w:t>
      </w:r>
    </w:p>
    <w:p>
      <w:r>
        <w:rPr>
          <w:b/>
        </w:rPr>
        <w:t>E. 7</w:t>
      </w:r>
    </w:p>
    <w:p>
      <w:r>
        <w:t>La Cour d'appel s'est toutefois écartée du texte de l'accord en prolongeant jusqu'au 30 avril 2006 l'obligation de payer incombant à la défenderesse. La raison en est à rechercher dans l'augmentation, par le législateur, de l'âge de la retraite AVS des femmes de 62 à 64 ans. Que le risque lié à une telle modification légale doive être assumé effectivement par la défenderesse et non par la demanderesse, selon la volonté des parties, apparaît discutable. Cependant, la défenderesse n'a pas soulevé cette question devant les juridictions cantonales et elle ne le fait pas non plus dans son mémoire de recours. Or, il n'incombe pas au Tribunal fédéral d'examiner d'office l'interprétation du contrat sur ce point. Aussi n'y a-t-il pas lieu d'approfondir cette question.</w:t>
      </w:r>
    </w:p>
    <w:p>
      <w:r>
        <w:rPr>
          <w:b/>
        </w:rPr>
        <w:t>E. 8</w:t>
      </w:r>
    </w:p>
    <w:p>
      <w:r>
        <w:t>Les considérations qui précèdent conduisent au rejet du recours.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l'intimée, elle n'a pas droit à des dépens, étant donné qu'elle a renoncé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