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4C.436/1999 vom 28. März 2000</w:t>
      </w:r>
    </w:p>
    <w:p>
      <w:r>
        <w:t>Bundesgericht, 2000-03-28, FR</w:t>
      </w:r>
    </w:p>
    <w:p>
      <w:r>
        <w:rPr>
          <w:b/>
        </w:rPr>
        <w:t xml:space="preserve">Quelle: </w:t>
      </w:r>
      <w:r>
        <w:t>https://mcp.opencaselaw.ch/entscheid/bger_4C.436_1999</w:t>
      </w:r>
    </w:p>
    <w:p>
      <w:r>
        <w:t>FR: TF 4C.436/1999 du 28 mars 2000</w:t>
      </w:r>
    </w:p>
    <w:p>
      <w:r>
        <w:t>IT: TF 4C.436/1999 del 28 marzo 2000</w:t>
      </w:r>
    </w:p>
    <w:p>
      <w:pPr>
        <w:pStyle w:val="Heading2"/>
      </w:pPr>
      <w:r>
        <w:t>Erwägungen</w:t>
      </w:r>
    </w:p>
    <w:p>
      <w:r>
        <w:rPr>
          <w:b/>
        </w:rPr>
        <w:t>E. 5</w:t>
      </w:r>
    </w:p>
    <w:p>
      <w:r>
        <w:t>La demanderesse, qui succombe, sera condamnée au paiement de l'émolument judiciaire et versera au défendeur une indemnité à titre de dépens (art. 156 al. 1 et 159 al. 1 OJ). Comme celui-ci a obtenu l'assistance judiciaire, les honoraires de son avocat, fixés dans le dispositif du présent arrêt, seront supportés par la Caisse du Tribunal fédéral au cas où les dépens ne pourraient pas être recouvrés ( art. 152 al. 2 OJ ).</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