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4C.427/2006 vom 21. März 2007</w:t>
      </w:r>
    </w:p>
    <w:p>
      <w:r>
        <w:t>Bundesgericht, 2007-03-21, DE</w:t>
      </w:r>
    </w:p>
    <w:p>
      <w:r>
        <w:rPr>
          <w:b/>
        </w:rPr>
        <w:t xml:space="preserve">Quelle: </w:t>
      </w:r>
      <w:r>
        <w:t>https://mcp.opencaselaw.ch/entscheid/bger_4C.427_2006</w:t>
      </w:r>
    </w:p>
    <w:p>
      <w:r>
        <w:t>FR: TF 4C.427/2006 du 21 mars 2007</w:t>
      </w:r>
    </w:p>
    <w:p>
      <w:r>
        <w:t>IT: TF 4C.427/2006 del 21 marzo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X.________ und Y.________ (Kläger) haben das Urteil des Appellationsgerichts des Kantons Basel-Stadt, Ausschuss, vom 17. August 2006 mit staatsrechtlicher Beschwerde (Verfahren 4P.323/2006) und mit eidgenössischer Berufung angefochten.</w:t>
      </w:r>
    </w:p>
    <w:p>
      <w:r>
        <w:t>Das Bundesgericht hat die staatsrechtliche Beschwerde mit Urteil vom heutigen Tag gutgeheissen und das angefochtene Urteil aufgehoben. Damit ist die Berufung gegenstandslos und demnach abzuschreiben.</w:t>
      </w:r>
    </w:p>
    <w:p>
      <w:r>
        <w:rPr>
          <w:b/>
        </w:rPr>
        <w:t>E. 2</w:t>
      </w:r>
    </w:p>
    <w:p>
      <w:r>
        <w:t>Bei diesem Ausgang des Verfahrens ist den Klägern eine reduzierte Gerichtsgebühr aufzuerlegen, unter solidarischer Haftbarkeit ( Art. 156 Abs. 6 und 7 OG ). Sie haben überdies die Beklagte für das bundesgerichtliche Verfahren unter solidarischer Haftbarkeit zu entschädigen (Art. 156 Abs. 6 und 7 in Verbindung mit Art. 159 Abs. 5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