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4C.421/2005 vom 6. April 2006</w:t>
      </w:r>
    </w:p>
    <w:p>
      <w:r>
        <w:t>Bundesgericht, 2006-04-06, FR</w:t>
      </w:r>
    </w:p>
    <w:p>
      <w:r>
        <w:rPr>
          <w:b/>
        </w:rPr>
        <w:t xml:space="preserve">Quelle: </w:t>
      </w:r>
      <w:r>
        <w:t>https://mcp.opencaselaw.ch/entscheid/bger_4C.421_2005</w:t>
      </w:r>
    </w:p>
    <w:p>
      <w:r>
        <w:t>FR: TF 4C.421/2005 du 6 avril 2006</w:t>
      </w:r>
    </w:p>
    <w:p>
      <w:r>
        <w:t>IT: TF 4C.421/2005 del 6 aprile 2006</w:t>
      </w:r>
    </w:p>
    <w:p>
      <w:pPr>
        <w:pStyle w:val="Heading2"/>
      </w:pPr>
      <w:r>
        <w:t>Erwägungen</w:t>
      </w:r>
    </w:p>
    <w:p>
      <w:r>
        <w:rPr>
          <w:b/>
        </w:rPr>
        <w:t>E. 1.1</w:t>
      </w:r>
    </w:p>
    <w:p>
      <w:r>
        <w:t>Comme toute voie de droit, le recours en réforme suppose que celui qui le dépose ait un intérêt à recourir ( ATF 130 III 102 consid. 1.3 p. 105 et l'arrêt cité). Le recourant doit être lésé par la décision attaquée. Il y a lésion formelle (formelle Beschwer) lorsque la partie n'a pas obtenu le plein de ses conclusions. Mais il faut en plus une lésion matérielle (materielle Beschwer): le jugement attaqué doit atteindre les droits de la partie et lui être défavorable quant à ses effets juridiques; en principe, un tel intérêt existe en cas de lésion formelle ( ATF 120 II 5 consid. 2a p. 7/8 et les références).</w:t>
      </w:r>
    </w:p>
    <w:p>
      <w:r>
        <w:rPr>
          <w:b/>
        </w:rPr>
        <w:t>E. 1.2</w:t>
      </w:r>
    </w:p>
    <w:p>
      <w:r>
        <w:t>En l'espèce, la demande de l'Etat du Valais contre A.________ SA et C.________ AG a été rejetée pour défaut de légitimation passive. Ces deux entreprises ont obtenu entièrement gain de cause et ne sont donc lésées ni formellement, ni matériellement par le jugement attaqué. Dans ces conditions, le recours est irrecevable en tant qu'il est formé par A.________ SA et C.________ AG.</w:t>
      </w:r>
    </w:p>
    <w:p>
      <w:r>
        <w:rPr>
          <w:b/>
        </w:rPr>
        <w:t>E. 2.1</w:t>
      </w:r>
    </w:p>
    <w:p>
      <w:r>
        <w:t>En tant qu'il est interjeté par les défenderesses B.________ SA et D.________ SA (ci-après: les défenderesses), qui ont été déboutées de leurs conclusions libératoires, et qu'il est dirigé contre un jugement final rendu en dernière instance cantonale par un tribunal supérieur ( art. 48 al. 1 OJ ), sur une contestation civile dont la valeur litigieuse atteint le seuil de 8'000 fr. ( art. 46 OJ ), le recours est recevable, puisqu'il a été déposé en temps utile compte tenu des féries (art. 34 al. 1 let. b et 54 al. 1 OJ) et dans les formes requises ( art. 55 OJ ).</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3</w:t>
      </w:r>
    </w:p>
    <w:p>
      <w:r>
        <w:t>Le demandeur a fondé son action sur la garantie de l'entrepreneur pour les défauts de l'ouvrage. Les défenderesses ont soulevé l'exception de prescription. Il n'est pas contesté que le délai de prescription de cinq ans a commencé de courir le 19 novembre 1996 pour arriver à échéance le 18 novembre 2001.</w:t>
      </w:r>
    </w:p>
    <w:p>
      <w:r>
        <w:t>Pour rejeter l'exception de prescription, la cour cantonale a tenu deux raisonnements. Tout d'abord, elle a considéré que, dans les circonstances de l'espèce, les défenderesses commettaient un abus de droit en se prévalant de la prescription. Au surplus, elle a jugé que, par son attitude lors de la séance du 26 novembre 2001, la représentante du consortium avait renoncé à se prévaloir de la prescription de sorte que celle-ci n'était pas acquise lors de l'introduction d'instance du 27 mars 2003.</w:t>
      </w:r>
    </w:p>
    <w:p>
      <w:r>
        <w:t>Dans leur recours, les défenderesses s'en prennent à ces deux motivations.</w:t>
      </w:r>
    </w:p>
    <w:p>
      <w:r>
        <w:rPr>
          <w:b/>
        </w:rPr>
        <w:t>E. 4</w:t>
      </w:r>
    </w:p>
    <w:p>
      <w:r>
        <w:t>Il convient d'examiner en premier lieu les critiques que les défenderesses adressent à la seconde argumentation développée dans le jugement attaqué. A lire le recours, il ressort de l'interprétation de l'ensemble des circonstances que le consortium n'a pas accepté de renoncer à la prescription lors de la séance du 26 novembre 2001, fût-ce de manière implicite. Si tel avait été le cas, le rédacteur du procès-verbal n'aurait pas manqué de mentionner le mot «prescription»; or, ce dernier ne figure nulle part.</w:t>
      </w:r>
    </w:p>
    <w:p>
      <w:r>
        <w:rPr>
          <w:b/>
        </w:rPr>
        <w:t>E. 4.1</w:t>
      </w:r>
    </w:p>
    <w:p>
      <w:r>
        <w:t>L' art. 141 al. 1 CO prescrit qu'est nulle toute renonciation anticipée à la prescription. Selon un arrêt récent, qui consacre une modification de la jurisprudence, cette disposition ne prohibe que la renonciation à la prescription qui intervient au moment précis de la conclusion du contrat, l'interdiction étant valable pour tous les délais de prescription, et non seulement pour ceux du titre troisième du CO. Après que le contrat a été conclu, le débiteur peut sans autre renoncer à se prévaloir de la prescription tant que le délai court; cette faculté vaut quel que soit le délai de prescription en cause ( ATF 132 III 226 consid. 3.3.7 p. 239). Il est également possible de renoncer à invoquer l'exception de prescription une fois que le délai est écoulé (même arrêt, consid. 3.3.7 p. 240; déjà ATF 99 II 185 consid. 2b; 113 II 264 consid. 2e p. 269; 122 III 10 consid. 7 p. 20). La durée pour laquelle la renonciation dépend de la volonté des parties, déterminée, le cas échéant, par voie d'interprétation; elle ne saurait toutefois dépasser dix ans ( ATF 132 III 226 consid. 3.3.8 p. 240).</w:t>
      </w:r>
    </w:p>
    <w:p>
      <w:r>
        <w:t>La renonciation à la prescription peut se faire sans forme; des actes concluants suffisent s'ils constituent des indices clairs de la volonté univoque du débiteur (Pascal Pichonnaz, Commentaire romand, n. 7 ad art. 141 CO ; Berti, Basler Kommentar, 3e éd., n. 5 ad art. 141 CO ). Le comportement ou la déclaration en cause s'interprète selon le principe de la confiance (cf. ATF 112 II 231 consid. 3e/bb p. 233).</w:t>
      </w:r>
    </w:p>
    <w:p>
      <w:r>
        <w:rPr>
          <w:b/>
        </w:rPr>
        <w:t>E. 4.2</w:t>
      </w:r>
    </w:p>
    <w:p>
      <w:r>
        <w:t>En l'espèce, contrairement à l'avis de la cour cantonale, on ne saurait, selon les règles de la bonne foi, interpréter l'acceptation, le 26 novembre 2001, d'un délai à fin juin 2002 pour l'exécution des travaux de garantie comme un indice clair de la volonté univoque des entrepreneurs de renoncer à l'exception de prescription. En effet, celle-ci était acquise depuis le 18 novembre 2001, mais aucun élément du jugement attaqué ne permet d'affirmer que la représentante des défenderesses était consciente de ce fait lors de la séance du 26 novembre 2001 et qu'elle ait donc accepté le délai à fin juin 2002 en toute connaissance de cause. La question de la prescription n'est pas évoquée dans le procès-verbal de ladite réunion; dès lors, l'on ne peut pas non plus admettre que le demandeur pouvait déduire clairement de l'attitude du représentant de B.________ SA que les membres du consortium renonçaient à l'exception de prescription. Le jugement attaqué consacre ainsi une violation du droit fédéral en admettant une telle renonciation implicite de la part des défenderesses. Il y a dès lors lieu d'examiner si l'autre raisonnement des juges précédents est conforme au droit fédéral.</w:t>
      </w:r>
    </w:p>
    <w:p>
      <w:r>
        <w:rPr>
          <w:b/>
        </w:rPr>
        <w:t>E. 5</w:t>
      </w:r>
    </w:p>
    <w:p>
      <w:r>
        <w:t>D'après les défenderesses, la cour cantonale a également violé le droit fédéral en admettant qu'elles commettaient un abus de droit en excipant de la prescription.</w:t>
      </w:r>
    </w:p>
    <w:p>
      <w:r>
        <w:rPr>
          <w:b/>
        </w:rPr>
        <w:t>E. 5.1</w:t>
      </w:r>
    </w:p>
    <w:p>
      <w:r>
        <w:t>Selon l' art. 2 al. 2 CC , l'abus manifeste d'un droit n'est pas protégé par la loi. L'existence d'un tel abus se détermine selon les circonstances concrètes du cas, en s'inspirant des diverses catégories mises en évidence par la jurisprudence et la doctrine ( ATF 129 III 493 consid. 5.1 p. 497 et les arrêts cités). L'adjectif «manifeste» indique qu'il convient de se montrer restrictif dans l'admission de l'abus de droit (consid. 5b non publié de l' ATF 128 III 284 et l'arrêt cité).</w:t>
      </w:r>
    </w:p>
    <w:p>
      <w:r>
        <w:t>La règle prohibant l'abus de droit autorise le juge à corriger les effets de la loi dans certains cas où l'exercice d'un droit allégué créerait une injustice manifeste. Cependant, son application doit demeurer restrictive et se concilier avec la finalité, telle que l'a voulue le législateur, de la norme matérielle applicable au cas concret ( ATF 107 Ia 206 consid. 3b p. 211 et les références), en l'espèce la prescription quinquennale de l' art. 371 al. 2 CO (François Chaix, Commentaire romand, n. 24 à 34 ad art. 371 CO ; Gauch, Der Werkvertrag, 4e éd., n. 2215-2217, p. 582/583).</w:t>
      </w:r>
    </w:p>
    <w:p>
      <w:r>
        <w:t>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p. 437; 128 V 236 consid.4a p. 241 et les arrêts cités; arrêt 4C.296/2003 du 12 mai 2004, consid. 3.6, in SJ 2004 I p. 589, notamment p. 594/595).</w:t>
      </w:r>
    </w:p>
    <w:p>
      <w:r>
        <w:t>En revanche, si, une fois la prescription acquise, le débiteur a adopté une attitude propre à dissuader le créancier, ce dernier ne saurait invoquer l'abus de droit (Pichonnaz, op. cit., n. 13 ad art. 142 CO ). En effet, le comportement du débiteur ne joue plus aucun rôle après l'écoulement du délai de prescription ( ATF 113 II 264 consid. 2e p. 269).</w:t>
      </w:r>
    </w:p>
    <w:p>
      <w:r>
        <w:rPr>
          <w:b/>
        </w:rPr>
        <w:t>E. 5.2</w:t>
      </w:r>
    </w:p>
    <w:p>
      <w:r>
        <w:t>En l'espèce, il convient de reprendre la chronologie des faits et des attitudes des parties après la réception de l'ouvrage, le 19 novembre 1996. En septembre et novembre 1998, divers contrôles ont été opérés par l'ETH et l'EPFL; sur cette base, le Service des routes a, par lettre du 18 février 1999, dénoncé les défauts constatés, soit une résistance insuffisante au polissage entraînant une «glissance» sur les 700 ou 800 derniers mètres du lot n°.... Dans ce courrier, le demandeur a expressément rappelé que le délai de garantie courait jusqu'au 18 novembre 2001, sans préciser toutefois qu'il coïncidait avec le délai de prescription, ce qui ne pouvait pas échapper au maître de l'ouvrage. Le consortium a réagi déjà le 25 février 1999, en assurant le demandeur de son intention de présenter rapidement ses conclusions et propositions. Le groupe d'entrepreneurs a ainsi manifesté sa bonne volonté, sans reconnaître expressément sa responsabilité. Dans la mesure où le défaut provenait principalement de la qualité du matériau utilisé, le consortium s'est alors retourné contre les fournisseurs, soit la Gravière H.________ et sa sous-traitante, la Carrière I________ SA. Par la suite, en juin 1999, deux séances ont réuni tous les intéressés, à l'issue desquelles une expertise commune des parties a été confiée au LAVOC, dont le mandat a encore été précisé à fin septembre 1999. Cette collaboration s'est poursuivie jusqu'à l'examen des conclusions du LAVOC, qui ont été partiellement contestées en février 2000. Le demandeur a alors été amené à requérir une expertise complémentaire à l'ETH, sans prise de position, ni opposition de la part des entrepreneurs. En mai 2000, l'entreprise pilote du consortium a présenté des propositions de réfection, mais devisées. Le 12 décembre 2000, l'ETH a rendu son rapport, qui attestait de la très mauvaise qualité du revêtement sur de nombreux tronçons. Ce n'est que le 5 juillet 2001 que le demandeur a étendu l'avis des défauts de «glissance» à l'ensemble du revêtement SMA11 du lot n°..., en mettant en demeure le consortium de procéder à l'élimination du défaut d'ici à fin juin 2002.</w:t>
      </w:r>
    </w:p>
    <w:p>
      <w:r>
        <w:t>Il découle de ce rappel des faits que les parties ont tout d'abord cherché à trouver un règlement amiable, notamment par la mise sur pied d'une expertise commune, mais dont les résultats ont été en partie contestés. De leur côté, les membres du consortium ont d'emblée impliqué leurs fournisseurs, qui ont d'ailleurs participé à l'élaboration de la première expertise, dont le LAVOC a été chargé.</w:t>
      </w:r>
    </w:p>
    <w:p>
      <w:r>
        <w:t>Les démarches envers des tiers prennent certes du temps, mais leur légitimité ne permet pas de considérer qu'il y a abus de droit lorsque le débiteur les accomplit (cf. arrêt 5C.61/2003 du 23 octobre 2003, consid. 4). Lorsque le débiteur participe à la recherche de solutions avec le créancier et tente parallèlement d'impliquer des tiers sans reconnaître expressément ou tacitement sa responsabilité, le créancier ne peut inférer de cette attitude la haute probabilité d'un arrangement à l'amiable, qui le pousserait à renoncer à toute mesure nécessaire à l'interruption de la prescription (cf. arrêt 5C.68/2000 du 13 juillet 2000, consid. 3a et b).</w:t>
      </w:r>
    </w:p>
    <w:p>
      <w:r>
        <w:t>Il est vrai par ailleurs que, avant la survenance de la prescription, les membres du consortium ont soumis au maître de l'ouvrage des propositions de réfection du défaut. Celles-ci étaient toutefois accompagnées de devis, de sorte que le demandeur devait inférer de cette circonstance que les entrepreneurs n'accepteraient pas sans autre - notamment pas sans être payés - d'assumer la responsabilité des insuffisances du revêtement.</w:t>
      </w:r>
    </w:p>
    <w:p>
      <w:r>
        <w:t>De plus, le demandeur a attendu du 12 décembre 2000 au 5 juillet 2001 pour étendre l'avis des défauts concernant la qualité du revêtement SMA11, dont il tenait responsables les membres du consortium; il a notifié une deuxième fois cet avis le 21 septembre 2001, avec une mise en demeure à l'intention du consortium de prendre position sur les travaux de réfection nécessaires d'ici au 11 octobre 2001. Ce faisant, le maître de l'ouvrage devait avoir présent à l'esprit que le délai de prescription quinquennal, correspondant en l'espèce avec le délai de garantie, dont les deux échéances intervenaient le 18novembre 2001, approchait. Vu l'expérience des deux parties et l'importance de la créance pour les membres du consortium, il ne pouvait considérer que ces derniers renonceraient à une institution aussi importante que la prescription. Le 17 octobre 2001, le représentant du consortium a indiqué du reste qu'il avait requis l'opinion d'un expert avant de se déterminer; une nouvelle fois, il a signalé qu'il impliquerait sa sous-traitante, la Gravière H.________.</w:t>
      </w:r>
    </w:p>
    <w:p>
      <w:r>
        <w:t>Par ailleurs, l'engagement pris par les membres du consortium, lors d'une séance du 26 novembre 2001, ne peut pas être pris en considération, dès lors qu'il est intervenu après que la prescription était acquise, en date du 18 novembre 2001 (cf. consid. 5.1 in fine).</w:t>
      </w:r>
    </w:p>
    <w:p>
      <w:r>
        <w:t>Sur ce point, les précédents juges ont considéré que l'attitude des membres du consortium, lors de ladite réunion, reflétait «l'esprit conciliant qui animait les pourparlers entre les parties» dans la période précédant la survenance de la prescription. Or, comme déjà relevé, il n'est pas contesté que les entrepreneurs aient cherché des solutions avec le maître de l'ouvrage; ils n'ont toutefois jamais reconnu, expressément ou par actes concluants, leur responsabilité de façon claire, puisqu'ils ont contesté une partie des résultats de l'expertise mise en oeuvre communément et qu'ils ont toujours voulu se retourner contre leurs fournisseurs, le défaut dénoncé en temps utile provenant essentiellement de la qualité du matériau utilisé.</w:t>
      </w:r>
    </w:p>
    <w:p>
      <w:r>
        <w:t>Dans le cadre de négociations entre un maître de l'ouvrage, chargé de faire construire des équipements routiers et disposant d'un personnel technique et juridique qualifié, et un groupe d'entrepreneurs déployant son activité dans ce genre d'ouvrage, il n'y a guère de place pour un comportement douteux du débiteur, amenant astucieusement, même sans mauvaise intention, à endormir la vigilance du maître de l'ouvrage et à le dissuader d'interrompre la prescription avant l'échéance du délai en cause. Dans les circonstances de l'espèce, le maître de l'ouvrage ne pouvait pas s'abstenir de réagir, soit en obtenant formellement des membres du consortium une renonciation à la prescription, soit en l'interrompant lui-même par la notification d'une poursuite ou par l'introduction d'une demande.</w:t>
      </w:r>
    </w:p>
    <w:p>
      <w:r>
        <w:t>En conclusion, les entrepreneurs n'ont pas abusé de leur droit en rejetant toute responsabilité le 9 janvier 2002, avant d'invoquer la prescription, successivement les 14 juin et 23 juillet 2002. L'attitude parfois peu tranchée des membres du consortium et une certaine ambivalence de leur part n'étaient de loin pas suffisantes à faire croire au maître de l'ouvrage qu'ils renonceraient à l'institution de la prescription dans une affaire aussi importante. Selon une appréciation raisonnable des circonstances, fondée sur des critères objectifs, elles n'étaient pas de nature à inciter le demandeur à renoncer à toutes démarches juridiques avant l'échéance du délai de prescription, survenue le 18novembre 2001. La qualité respective des parties, leur coopération dans la réalisation de travaux publics d'envergure et la constance des membres du consortium, qui n'ont jamais admis leur responsabilité, démontrent que l'invocation de la prescription, dans le cas particulier, ne peut pas être abusive en l'espèce. En rejetant l'exception de prescription pour cause d'abus de droit, la cour cantonale a dès lors violé le droit fédéral.</w:t>
      </w:r>
    </w:p>
    <w:p>
      <w:r>
        <w:rPr>
          <w:b/>
        </w:rPr>
        <w:t>E. 6</w:t>
      </w:r>
    </w:p>
    <w:p>
      <w:r>
        <w:t>Ces considérations commandent l'admission du recours et la réforme du jugement du 8 novembre 2005, en ce sens que la demande de l'Etat du Valais est rejetée pour cause de prescription.</w:t>
      </w:r>
    </w:p>
    <w:p>
      <w:r>
        <w:rPr>
          <w:b/>
        </w:rPr>
        <w:t>E. 7</w:t>
      </w:r>
    </w:p>
    <w:p>
      <w:r>
        <w:t>A.________ SA et C.________ AG, qui ont déposé un recours irrecevable, supporteront une part réduite des frais judiciaires. Comme il n'a pas soulevé la question de l'absence d'intérêt au recours des deux sociétés précitées, le demandeur ne peut prétendre à des dépens à cet égard.</w:t>
      </w:r>
    </w:p>
    <w:p>
      <w:r>
        <w:t>Pour le reste et vu l'issue du litige, les frais judiciaires seront mis à la charge du demandeur, qui a agi en tant que maître de l'ouvrage et non en tant qu'autorité ( art. 156 al. 1 et 2 OJ ). Ce dernier versera en outre des dépens aux défenderesses B.________ SA et D.________ SA, créancières solidaires ( art. 159 al. 1 et 5 OJ ).</w:t>
      </w:r>
    </w:p>
    <w:p>
      <w:r>
        <w:t>Le dossier sera renvoyé à la cour cantonale pour nouvelle décision sur les frais et dépens exposés devant cette juridiction, sauf sur les dépens accordés à A.________ SA et C.________ AG. Sur ce dernier point, il n'y a en effet pas lieu de revenir sur les montants qui ont été alloués en instance cantonale à deux parties dont le recours en réforme est irrecevable et qui ont été fixés d'une manière non arbitraire selon l'arrêt sur recours de droit public parallèle.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