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4C.420/1999 vom 20. Januar 2000</w:t>
      </w:r>
    </w:p>
    <w:p>
      <w:r>
        <w:t>Bundesgericht, 2000-01-20, FR</w:t>
      </w:r>
    </w:p>
    <w:p>
      <w:r>
        <w:rPr>
          <w:b/>
        </w:rPr>
        <w:t xml:space="preserve">Quelle: </w:t>
      </w:r>
      <w:r>
        <w:t>https://mcp.opencaselaw.ch/entscheid/bger_4C.420_1999</w:t>
      </w:r>
    </w:p>
    <w:p>
      <w:r>
        <w:t>FR: TF 4C.420/1999 du 20 janvier 2000</w:t>
      </w:r>
    </w:p>
    <w:p>
      <w:r>
        <w:t>IT: TF 4C.420/1999 del 20 gennaio 2000</w:t>
      </w:r>
    </w:p>
    <w:p>
      <w:pPr>
        <w:pStyle w:val="Heading2"/>
      </w:pPr>
      <w:r>
        <w:t>Erwägungen</w:t>
      </w:r>
    </w:p>
    <w:p>
      <w:r>
        <w:rPr>
          <w:b/>
        </w:rPr>
        <w:t>E. 1</w:t>
      </w:r>
    </w:p>
    <w:p>
      <w:r>
        <w:t>a) Interjeté par les parties qui ont été condamnées à évacuer les lieux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b) Le recours en réforme est ouvert pour violation du droit fédéral ( art. 43 al. 1 OJ ), mais non pour violation directe d'un droit de rang constitutionnel ( art. 43 al. 1 2 ème phrase OJ) ou pour violation du droit cantonal (ATF 123</w:t>
      </w:r>
    </w:p>
    <w:p>
      <w:r>
        <w:t>III 337 consid. 3b, 395 consid. 1b, 414 consid. 3c; 122 III 101 consid. 2a/cc).</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117 II 256 consid. 2a). Dans la mesure où les recourants présentent un état de fait qui s'écarte de celui retenu par la cour cantonale sans que l'une de ces exceptions ne soit établie, il n'est pas possible d'en tenir compte. Les recourants ne peuvent pas présenter de griefs contre les constatations de fait, ni de faits ou de moyens de preuve nouveaux ( art. 55 al. 1 let . c OJ). Le Tribunal fédéral ne peut aller au-delà des conclusions des parties, mais il n'est pas lié par les motifs qu'elles invoquent ( art. 63 al. 1 OJ ), ni par ceux de la décision cantonale ( art. 63 al. 3 OJ ; ATF 123 III 246 consid. 2; 122 III 150 consid. 3).</w:t>
      </w:r>
    </w:p>
    <w:p>
      <w:r>
        <w:rPr>
          <w:b/>
        </w:rPr>
        <w:t>E. 2</w:t>
      </w:r>
    </w:p>
    <w:p>
      <w:r>
        <w:t>Met un émolument judiciaire de 3500 fr. solidairement à la charge des recourants;</w:t>
      </w:r>
    </w:p>
    <w:p>
      <w:r>
        <w:rPr>
          <w:b/>
        </w:rPr>
        <w:t>E. 3</w:t>
      </w:r>
    </w:p>
    <w:p>
      <w:r>
        <w:t>Dit que les recourants verseront solidairement à l'intimé une indemnité de 4000 fr. à titre de dépens;</w:t>
      </w:r>
    </w:p>
    <w:p>
      <w:r>
        <w:rPr>
          <w:b/>
        </w:rPr>
        <w:t>E. 4</w:t>
      </w:r>
    </w:p>
    <w:p>
      <w:r>
        <w:t>Communique le présent arrêt en copie aux mandataires des parties et à la Chambre des recours du Tribunal cantonal vaudois.</w:t>
      </w:r>
    </w:p>
    <w:p>
      <w:r>
        <w:t>____________</w:t>
      </w:r>
    </w:p>
    <w:p>
      <w:r>
        <w:t>Lausanne, le 20 janvier 2000</w:t>
      </w:r>
    </w:p>
    <w:p>
      <w:r>
        <w:t>ECH</w:t>
      </w:r>
    </w:p>
    <w:p>
      <w:r>
        <w:t>Au nom de la Ie Cour civile</w:t>
      </w:r>
    </w:p>
    <w:p>
      <w:r>
        <w:t>du TRIBUNAL FEDERAL SUISSE:</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