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4C.417/1999 vom 18. Februar 2000</w:t>
      </w:r>
    </w:p>
    <w:p>
      <w:r>
        <w:t>Bundesgericht, 2000-02-18, FR</w:t>
      </w:r>
    </w:p>
    <w:p>
      <w:r>
        <w:rPr>
          <w:b/>
        </w:rPr>
        <w:t xml:space="preserve">Quelle: </w:t>
      </w:r>
      <w:r>
        <w:t>https://mcp.opencaselaw.ch/entscheid/bger_4C.417_1999</w:t>
      </w:r>
    </w:p>
    <w:p>
      <w:r>
        <w:t>FR: TF 4C.417/1999 du 18 février 2000</w:t>
      </w:r>
    </w:p>
    <w:p>
      <w:r>
        <w:t>IT: TF 4C.417/1999 del 18 febbraio 2000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Les demandeurs, qui succombent, seront condamnés au paiement de l'émolument judiciaire et verseront au défendeur une indemnité à titre de dépens, solidairement entre eux (art. 156 al. 1 et 7 ; 159 al. 1 et 5 OJ ).</w:t>
      </w:r>
    </w:p>
    <w:p>
      <w:r>
        <w:t>Par ces motifs,</w:t>
      </w:r>
    </w:p>
    <w:p>
      <w:r>
        <w:t>l e T r i b u n a l 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