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4C.413/1999 vom 9. Februar 2000</w:t>
      </w:r>
    </w:p>
    <w:p>
      <w:r>
        <w:t>Bundesgericht, 2000-02-09, FR</w:t>
      </w:r>
    </w:p>
    <w:p>
      <w:r>
        <w:rPr>
          <w:b/>
        </w:rPr>
        <w:t xml:space="preserve">Quelle: </w:t>
      </w:r>
      <w:r>
        <w:t>https://mcp.opencaselaw.ch/entscheid/bger_4C.413_1999</w:t>
      </w:r>
    </w:p>
    <w:p>
      <w:r>
        <w:t>FR: TF 4C.413/1999 du 9 février 2000</w:t>
      </w:r>
    </w:p>
    <w:p>
      <w:r>
        <w:t>IT: TF 4C.413/1999 del 9 febbraio 2000</w:t>
      </w:r>
    </w:p>
    <w:p>
      <w:pPr>
        <w:pStyle w:val="Heading2"/>
      </w:pPr>
      <w:r>
        <w:t>Erwägungen</w:t>
      </w:r>
    </w:p>
    <w:p>
      <w:r>
        <w:rPr>
          <w:b/>
        </w:rPr>
        <w:t>E. 1</w:t>
      </w:r>
    </w:p>
    <w:p>
      <w:r>
        <w:t>a) Selon les constatations cantonales qui lient le Tribunal fédéral saisi d'un recours en réforme ( art. 63 al. 2 OJ ) - sauf exceptions non réalisées en l'espèce -, les parties sont convenues que le demandeur - ou son père avant lui - mettait des fonds à disposition de la défenderesse, pour que celle-ci accorde des prêts hypothécaires en 2ème rang à des tiers, ces prêts étant effectués aux profits et risques du demandeur. Ainsi, l'accord des parties porte sur un service que la défenderesse devait rendre au demandeur et doit être qualifié de mandat ( art. 394 al. 1 CO ).</w:t>
      </w:r>
    </w:p>
    <w:p>
      <w:r>
        <w:t>Il résulte des constatations cantonales que la défenderesse a prêté les fonds confiés, en 1988, à des sociétés immobilières surendettées, dont la situation était critique malgré des loyers très élevés; le choix de tels débiteurs impliquait des risques importants qui excédaient ce qui est usuel en matière de prêts hypothécaires en 2ème rang; la Régie s'est donc écartée des instructions reçues, sans avoir obtenu le consentement de son mandant; elle ne l'a pas informé correctement des risques encourus et de l'évolution de la situation et elle a pris, en définitive, des mesures qui étaient contraires aux intérêts du demandeur. La cour cantonale en a déduit que la Régie avait violé fautivement son devoir de diligence (cf. art. 397 al. 2 et 398 al. 1 et 2 CO). La défenderesse n'émet aucun grief à l'encontre de cette déduction et il n'y a pas lieu d'y revenir.</w:t>
      </w:r>
    </w:p>
    <w:p>
      <w:r>
        <w:t>La défenderesse reproche cependant à la cour cantonale de ne pas avoir examiné correctement les autres conditions de la responsabilité contractuelle (cf. art. 97 al. 1 CO ), à savoir la causalité naturelle, la causalité adéquate et la détermination du dommage.</w:t>
      </w:r>
    </w:p>
    <w:p>
      <w:r>
        <w:t>b) Il y a causalité naturelle lorsque le fait générateur de responsabilité (en l'occurrence, la violation fautive des obligations contractuelles) est une condition sine qua non de la survenance du dommage ( ATF 107 II 269 consid. 1b; cf. également: ATF 125 IV 195 consid. 2b; 122 IV 17 consid. 2c/aa; 121 IV 207 consid. 2a). Dire s'il y a ou non causalité naturelle est une question de fait, qui ne peut être revue dans un recours en réforme ( art. 63 al. 2 OJ ); il y a en revanche violation du droit fédéral si le juge a ignoré l'exigence de la causalité naturelle ou a méconnu cette notion juridique ( ATF 123 III 110 consid. 2; 125 IV 195 consid. 2b; 122 IV 17 consid. 2c/aa; 121 IV 207 consid. 2a; 117 IV 130 consid. 2a; 116 II 305 consid. 2c/ee).</w:t>
      </w:r>
    </w:p>
    <w:p>
      <w:r>
        <w:t>En l'espèce, la cour cantonale, se fondant sur l'expertise judiciaire, a constaté que les prêts reprochés à la défenderesse ont conduit à ce résultat que le demandeur "a en définitive perdu la totalité des fonds investis, soit 500 000 fr., plus les intérêts" (arrêt attaqué p. 8). On ne voit donc pas en quoi la cour cantonale aurait perdu de vue l'exigence et la notion de causalité naturelle; savoir si, dans l'hypothèse où le demandeur aurait été correctement informé des risques, il aurait accepté de toute manière de faire de tels placements est précisément la question d'appréciation des preuves qui relève de l'établissement des faits et qui est soustraite à l'examen du Tribunal fédéral saisi d'un recours en réforme ( ATF 125 III 78 consid. 3a; 122 III 26 consid. 4a/aa; 122 III 61 consid. 2c/cc; 122 III 73 consid. 6b/bb; 121 III 350 consid. 7c; 120 II 97 consid. 2b). Aucun des faits retenus ne permet de penser que le demandeur aurait</w:t>
      </w:r>
    </w:p>
    <w:p>
      <w:r>
        <w:t>de toute manière subi un dommage même si les débiteurs avaient été choisis avec la prudence requise.</w:t>
      </w:r>
    </w:p>
    <w:p>
      <w:r>
        <w:t>c) Il y a causalité adéquate lorsque le fait générateur de la responsabilité était propre, d'après le cours ordinaire des choses et l'expérience de la vie, à entraîner un résultat du genre de celui qui s'est produit ( ATF 123 III 110 consid. 3a; 122 IV 17 consid. 2c/bb; 122 V 415 consid. 2a; 121 III 358 consid. 5; 121 IV 207 consid. 2a p. 212-213). Dire s'il y a causalité adéquate est une question de droit ( ATF 123 III 110 consid. 2; 116 II 519 consid. 4a; 108 II 51 consid. 3).</w:t>
      </w:r>
    </w:p>
    <w:p>
      <w:r>
        <w:t>La caractéristique d'un placement risqué est précisément de faire courir des risques; lorsque ceux-ci se réalisent, on ne se trouve assurément pas en dehors du cours ordinaire et prévisible des événements. Dans l'enchaînement des faits qui ont conduit au résultat incriminé, la cour cantonale n'a retenu aucun élément extraordinaire. En choisissant des débiteurs dont la solvabilité était incertaine, la défenderesse a accompli un acte qui était propre, d'après le cours ordinaire des choses, à entraîner le préjudice qui a été constaté, résultant justement du fait que les débiteurs sont devenus insolvables. On ne voit pas en quoi le concept de causalité adéquate aurait été violé. La recourante se plaint surtout d'une motivation lacunaire, mais le juge n'est pas tenu d'exposer ce qui ressortit à l'évidence. d) Le dommage est une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 ATF 120 II 296 consid. 3b; 116 II 44 consid. 3a/aa). Dire qu'il y a eu dommage et quelle en est la quotité est une question de fait, soustraite à</w:t>
      </w:r>
    </w:p>
    <w:p>
      <w:r>
        <w:t>l'examen du Tribunal fédéral saisi d'un recours en réforme ( ATF 123 III 241 consid. 3a; 122 III 61 consid. 2c/bb; 122 III 219 consid. 3b). C'est en revanche une question de droit que de dire si le juge a perdu de vue l'exigence d'un dommage au sens juridique ou a méconnu le sens de cette notion (cf. ATF 120 II 296 consid. 3b et les références).</w:t>
      </w:r>
    </w:p>
    <w:p>
      <w:r>
        <w:t>En l'espèce, la cour cantonale a constaté que, la défenderesse ayant choisi des débiteurs surendettés, ceux-ci sont devenus insolvables, de sorte que le demandeur a perdu la totalité du capital investi, soit 500 000 fr., ainsi que les intérêts qu'il aurait pu percevoir à partir d'une certaine date. Il n'apparaît pas que la cour cantonale ait perdu de vue l'exigence d'une diminution involontaire du patrimoine pour allouer des dommages-intérêts; rien n'indique non plus qu'elle ait méconnu la notion juridique de dommage. Savoir si l'intimé avait effectivement investi 500 000 fr. est une question de fait, qui ne peut être revue dans un recours en réforme. e) La défenderesse soutient que son mandant aurait reçu, pendant une certaine période, des intérêts plus élevés que ceux qui étaient accordés habituellement aux prêts hypothécaires en 2ème rang, précisément pour tenir compte du risque accru. Comme l'observe le demandeur, cette argumentation est nouvelle et ne figure dans aucune des écritures cantonales. La défenderesse entend donc invoquer, pour une période antérieure à la survenance du dommage, une "compensatio damni cum lucro". Une argumentation juridique nouvelle est possible dans un recours en réforme, mais seulement si elle repose entièrement sur les faits constatés par la cour cantonale ( ATF 125 III 305 consid. 2e; 115 II 464 consid. 1). Hormis les questions relatives à la recevabilité que le Tribunal fédéral doit examiner d'office, des moyens de droit nouveaux</w:t>
      </w:r>
    </w:p>
    <w:p>
      <w:r>
        <w:t>ne sont admissibles que s'il s'agit de déduire des conséquences juridiques sur la base de faits régulièrement soumis à l'appréciation de la juridiction cantonale et constatés par elle dans la décision attaquée ( ATF 123 III 129 consid. 3b/aa). Certes, l' art. 64 al. 1 OJ permet le renvoi à l'autorité cantonale pour compléter l'état de fait, mais il n'y a pas lieu d'ordonner un complètement s'il apparaît clairement que le fait pertinent n'a pas été allégué ou que l'allégué ne respectait pas les règles de procédure cantonale (Messmer/</w:t>
      </w:r>
    </w:p>
    <w:p>
      <w:r>
        <w:t>Imboden, Die Eidgenössischen Rechtsmittel in Zivilsachen, p. 139 n° 101).</w:t>
      </w:r>
    </w:p>
    <w:p>
      <w:r>
        <w:t>En procédure genevoise, les faits doivent être exposés, avec l'indication des preuves offertes, dans les écritures de première instance (art. 126 al. 1 de la loi de procédure civile genevoise); seuls les faits régulièrement allégués donnent droit à la preuve (Bertossa/Gaillard/Guyet, Commentaire de la loi de procédure civile genevoise, tome II, n° 1 ad art. 192); un appel ne permettrait d'ailleurs pas d'exiger l'administration de preuves qui n'auraient pas été sollicitées devant le premier juge en temps utile et selon les formes adéquates (op. cit., n° 2 ad art. 307). En l'espèce, on ne trouve pas dans l'arrêt attaqué les données qui permettraient de calculer l'avantage - sous la forme d'un intérêt supérieur - dont le demandeur aurait bénéficié en raison du risque particulier qui s'attachait aux prêts litigieux. Il serait vain de renvoyer la cause à l'autorité cantonale, puisque la défenderesse n'a jamais ni allégué ni offert en preuve les faits pertinents, de sorte que les règles de procédure applicables ne permettraient pas de compléter l'état de fait.</w:t>
      </w:r>
    </w:p>
    <w:p>
      <w:r>
        <w:t>Certes, la défenderesse fait valoir qu'elle a régulièrement offert en preuve que des prêts hypothécaires en 2ème rang procurent un rendement plus élevé que des livrets</w:t>
      </w:r>
    </w:p>
    <w:p>
      <w:r>
        <w:t>d'épargne ou des obligations de la Confédération. Mais ce n'est pas ce qu'il fallait alléguer et offrir en preuve. Elle devait alléguer que le demandeur, sur certains prêts déterminés et pendant une période précise, avait reçu un taux d'intérêt supérieur à celui qui était ordinairement pratiqué pour des prêts hypothécaires en 2ème rang, ceci pour compenser le risque accru qui s'attachait aux prêts litigieux. Or, on ne trouve pas trace d'un tel allégué dans ses écritures cantonales. D'ailleurs, les allégués contenus dans l'acte de recours ne permettraient pas d'effectuer le calcul nécessaire; la défenderesse, qui en est consciente, propose, pour la première fois, une expertise sur cette question. Son argumentation revient donc à invoquer des faits et des moyens de preuve nouveaux, ce que l' art. 55 al. 1 let . c OJ prohibe expressément. Cette partie de son argumentation est donc irrecevable.</w:t>
      </w:r>
    </w:p>
    <w:p>
      <w:r>
        <w:rPr>
          <w:b/>
        </w:rPr>
        <w:t>E. 2</w:t>
      </w:r>
    </w:p>
    <w:p>
      <w:r>
        <w:t>Les frais et dépens doivent être mis à la charge de la recourante qui succombe (art. 156 al. 1 et 159 al. 1 OJ).</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