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4C.412/2005 vom 23. Februar 2006</w:t>
      </w:r>
    </w:p>
    <w:p>
      <w:r>
        <w:t>Bundesgericht, 2006-02-23, DE</w:t>
      </w:r>
    </w:p>
    <w:p>
      <w:r>
        <w:rPr>
          <w:b/>
        </w:rPr>
        <w:t xml:space="preserve">Quelle: </w:t>
      </w:r>
      <w:r>
        <w:t>https://mcp.opencaselaw.ch/entscheid/bger_4C.412_2005</w:t>
      </w:r>
    </w:p>
    <w:p>
      <w:r>
        <w:t>FR: TF 4C.412/2005 du 23 février 2006</w:t>
      </w:r>
    </w:p>
    <w:p>
      <w:r>
        <w:t>IT: TF 4C.412/2005 del 23 febbraio 2006</w:t>
      </w:r>
    </w:p>
    <w:p>
      <w:pPr>
        <w:pStyle w:val="Heading2"/>
      </w:pPr>
      <w:r>
        <w:t>Regeste</w:t>
      </w:r>
    </w:p>
    <w:p>
      <w:r>
        <w:t>Aktienrecht; Sonderprüfung | Gesellschaftsrecht</w:t>
      </w:r>
    </w:p>
    <w:p>
      <w:pPr>
        <w:pStyle w:val="Heading2"/>
      </w:pPr>
      <w:r>
        <w:t>Erwägungen</w:t>
      </w:r>
    </w:p>
    <w:p>
      <w:r>
        <w:rPr>
          <w:b/>
        </w:rPr>
        <w:t>E. 1</w:t>
      </w:r>
    </w:p>
    <w:p>
      <w:r>
        <w:t>Der Anspruch auf Einsetzung eines Sonderprüfers im Sinne von Art. 697b OR ist - wie das Auskunftsrecht gemäss Art. 697 OR - als selbständiges Mitgliedschaftsrecht der Aktionäre zu verstehen. Der darüber ergehende gerichtliche Entscheid stellt einen Endentscheid in einer Zivilrechtsstreitigkeit dar, der bei Vorliegen der übrigen Voraussetzungen mit Berufung angefochten werden kann ( BGE 120 II 393 E. 2 mit Verweisen).</w:t>
      </w:r>
    </w:p>
    <w:p>
      <w:r>
        <w:rPr>
          <w:b/>
        </w:rPr>
        <w:t>E. 1.1</w:t>
      </w:r>
    </w:p>
    <w:p>
      <w:r>
        <w:t>Die angefochtene Verfügung des Handelsgerichts ist kantonal letztinstanzlich ( Art. 48 Abs. 1 OG ). Die Verfügung enthält zwar keine Angaben zum Streitwert; indessen kann aus dem Kostenentscheid abgeleitet werden, dass der Streitwert von Fr. 8'000.-- ohne weiteres überschritten ist ( Art. 46 OG ). Die Berufung ist grundsätzlich zulässig.</w:t>
      </w:r>
    </w:p>
    <w:p>
      <w:r>
        <w:rPr>
          <w:b/>
        </w:rPr>
        <w:t>E. 1.2</w:t>
      </w:r>
    </w:p>
    <w:p>
      <w:r>
        <w:t>Gemäss Art. 55 Abs. 1 lit. c OG muss die Berufungsschrift die Begründung der Anträge enthalten. Damit auf die Berufung eingetreten werden kann, muss danach kurz dargelegt werden, welche Bundesrechtssätze und inwiefern sie durch den angefochtenen Entscheid verletzt sein sollen. Wenn der Entscheid auf mehreren selbständigen Begründungen beruht, die unabhängig voneinander zum selben Ergebnis führen, müssen sämtliche Begründungen angefochten werden ( BGE 122 III 43 E. 3 S. 45; 120 II 312 E. 2 S. 314). Die Gesuchsteller fechten die selbständige Begründung im angefochtenen Entscheid nicht an, wonach ihre Rechtsbegehren 3-6 abgewiesen werden, weil sie an der Generalversammlung der Gesuchsgegnerin dafür keine Sonderprüfung verlangt haben. Insoweit ist auf die Berufung nicht einzutreten.</w:t>
      </w:r>
    </w:p>
    <w:p>
      <w:r>
        <w:rPr>
          <w:b/>
        </w:rPr>
        <w:t>E. 2</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welche den Sachverhalt berichtigt oder ergänzt wissen will, darüber genaue Angaben mit Aktenhinweisen zu machen ( Art. 55 Abs. 1 lit. c und d OG ; BGE 130 III 102 E. 2.2 S. 106 mit Hinweisen). Die Gesuchsteller berufen sich auf Art. 697c Abs. 1 OR und rügen, eine wirkliche Anhörung im Sinne dieser Bestimmung habe nicht stattgefunden. Sie berufen sich dabei auf eine Kommentarstelle, die ihrer sinngemäss geäusserten Ansicht widerspricht, dass Art. 697 Abs. 1 OR eine bundesrechtliche Verfahrensvorschrift enthält (Weber, Basler Kommentar, N. 1 zu Art. 697c OR ). Dass die Parteien an einer Instruktionsverhandlung vom 15. September 2005 ihr Anhörungsrecht ausüben konnten, bemerken die Gesuchsteller selbst. Inwiefern bundesrechtlich vorgeschrieben sein könnte, in diesem Rahmen die Parteianwälte zum Plädoyer zuzulassen, ist weder dargetan noch ersichtlich. Der Hinweis der Gesuchsteller auf die kantonale Prozessnorm von § 292 Abs. 1 ZPO AG ist nicht zu hören (Art. 55 Abs. 1 lit. c in fine OG). Die Rüge ist unbegründet, soweit darauf überhaupt eingetreten werden kann.</w:t>
      </w:r>
    </w:p>
    <w:p>
      <w:r>
        <w:rPr>
          <w:b/>
        </w:rPr>
        <w:t>E. 3</w:t>
      </w:r>
    </w:p>
    <w:p>
      <w:r>
        <w:t>Die Gesuchsteller rügen sinngemäss als Verletzung von Art. 697b Abs. 1 OR , dass sich die Vorinstanz nicht mit "akzeptierten Verhältnissen" begnügt, sondern den Nachweis verlangt habe, dass sie Aktionäre seien, welche zusammen mindestens 10 Prozent des Aktienkapitals vertreten.</w:t>
      </w:r>
    </w:p>
    <w:p>
      <w:r>
        <w:rPr>
          <w:b/>
        </w:rPr>
        <w:t>E. 3.1</w:t>
      </w:r>
    </w:p>
    <w:p>
      <w:r>
        <w:t>Entspricht die Generalversammlung dem Antrag auf Einleitung einer Sonderprüfung nicht, so können gemäss Art. 697b Abs. 1 OR Aktionäre, die zusammen mindestens 10 Prozent des Aktienkapitals oder Aktien im Nennwert von 2 Millionen Franken vertreten, innert dreier Monate den Richter ersuchen, einen Sonderprüfer einzusetzen. Aktivlegitimiert sind nach dieser Bestimmung Aktionäre. Denn die Sonderprüfung ist wie das Auskunfts- und das Einsichtsrecht ein Mittel, das den Aktionären den Zugang zu Informationen über Angelegenheiten der Gesellschaft verschaffen soll, so dass sie in hinreichender Kenntnis der Sachlage darüber entscheiden können, ob und wie sie von ihren Aktionärsrechten Gebrauch machen wollen ( BGE 123 III 261 E. 2 S. 263). Mit dem Quorum soll verhindert werden, dass ein einzelner Querulant im Alleingang eine Sonderprüfung in Gang setzt; es soll eine repräsentative Minderheit das Anliegen unterstützen (Böckli, Schweizer Aktienrecht, 3. Aufl., 2004, §16 N. 24/26; Weber, a.a.O., N. 2 zu Art. 697b OR ). Art. 697b Abs. 1 OR macht zu diesem Zweck das Recht auf gerichtliche Einsetzung eines Sonderprüfers zusätzlich von der formellen Voraussetzung abhängig, dass der Antrag von Aktionären gestellt wird, welche zusammen mindestens 10 Prozent des Aktienkapitals (oder Aktien im Nennwert von zwei Millionen Franken) vertreten (vgl. Forstmoser/Meier-Hayoz/Nobel, Schweizerisches Aktienrecht, 1996, § 35 N 41 ff.).</w:t>
      </w:r>
    </w:p>
    <w:p>
      <w:r>
        <w:rPr>
          <w:b/>
        </w:rPr>
        <w:t>E. 3.2</w:t>
      </w:r>
    </w:p>
    <w:p>
      <w:r>
        <w:t>Die Vorinstanz hat bundesrechtskonform den Nachweis der Aktionärseigenschaft der Gesuchsteller sowie den Nachweis der formellen Voraussetzung verlangt, dass diese mindestens 10 Prozent des Aktienkapitals halten. Sie hat dabei entgegen der sinngemässen Behauptung der Gesuchsteller nicht als entscheidend erachtet, dass die Gesuchsteller 2 und 3 nicht als Aktionäre im Register der Gesuchsgegnerin eingetragen sind und der Gesuchsteller 1 danach die minimale Anzahl von 20 Aktien nicht hält. Sie hat vielmehr geprüft, ob die Gesuchsteller 1 und 2 von einem andern Aktionär gültig die minimal erforderliche Anzahl Aktien erworben haben, wie sie behaupteten, und sie hat diesen Nachweis als nicht erbracht angesehen. Dabei ist sie bundesrechtskonform davon ausgegangen, dass verbriefte Namenaktien regelmässig indossiert werden, jedoch auch zediert werden können und dass in jedem Fall die Besitzverschaffung am Papier Voraussetzung für den Übergang der Rechte ist ( BGE 124 III 350 E. 2c S. 353 mit Verweis). Die Vorinstanz hat geschlossen, dass die Gesuchsteller 1 und 2 jedenfalls die Besitzverschaffung nicht beweisen konnten, was in der Berufung mit der Offerte unzulässiger neuer Beweismittel bestätigt wird ( Art. 55 Abs. 1 lit. c OG ).</w:t>
      </w:r>
    </w:p>
    <w:p>
      <w:r>
        <w:rPr>
          <w:b/>
        </w:rPr>
        <w:t>E. 3.3</w:t>
      </w:r>
    </w:p>
    <w:p>
      <w:r>
        <w:t>Den Gesuchstellern kann nicht gefolgt werden, wenn sie die Auffassung vertreten, die Aktivlegitimation im Sinne von Art. 697b Abs. 1 OR könne auch ohne den Nachweis der gesetzlich umschriebenen Voraussetzungen der Aktionärseigenschaft und des erforderlichen Quorums bejaht werden. Sie verkennen, dass die Sonderprüfung der Ausübung von Aktionärsrechten dient und daher die Aktionärseigenschaft unabdingbare Voraussetzung für die Aktivlegitimation bildet. Sie übergehen auch, dass das Gesetz die gerichtliche Einsetzung eines Sonderprüfers in Art. 697b Abs. 1 OR an die klar umschriebene formelle Voraussetzung einer Mindestbeteiligung knüpft, ohne dass gewichtige Gründe ersichtlich wären, die eine Abweichung von diesem Mindestquorum unter Rückgriff auf den Zweck der Norm erlauben würden. Die Vorinstanz hat daher bundesrechtskonform abgelehnt, eine - von den Gesuchstellern als Stimmrechtsvereinbarung bezeichnete - Abmachung zu berücksichtigen, welche im Hinblick auf die Generalversammlung der Gesuchsgegnerin vom 22. September 2004 geschlossen und von der Gesuchsgegnerin zu diesem Zweck akzeptiert worden war. Die Vorinstanz hat zutreffend geprüft, ob die Gesuchsteller im Zeitpunkt des Entscheides über das Gesuch um Einsetzung eines Sonderprüfers Aktionäre der Gesuchsgegnerin waren und ob sie in diesem Zeitpunkt das gesetzlich vorgeschriebene Quorum erreichten (Weber, a.a.O., N 3 zu Art. 697b OR ; vgl. auch Böckli, a.a.O., §16 N. 40).</w:t>
      </w:r>
    </w:p>
    <w:p>
      <w:r>
        <w:rPr>
          <w:b/>
        </w:rPr>
        <w:t>E. 4</w:t>
      </w:r>
    </w:p>
    <w:p>
      <w:r>
        <w:t>Die Berufung ist als unbegründet abzuweisen, soweit darauf einzutreten ist. Die Gerichtsgebühr ist diesem Ausgang entsprechend den Gesuchstellern zu auferlegen ( Art. 156 Abs. 1 OG ). Diese haben zudem der Gesuchsgegnerin deren Parteikosten für das bundesgerichtliche Verfahren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