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4C.410/2005 vom 1. Juni 2006</w:t>
      </w:r>
    </w:p>
    <w:p>
      <w:r>
        <w:t>Bundesgericht, 2006-06-01, FR</w:t>
      </w:r>
    </w:p>
    <w:p>
      <w:r>
        <w:rPr>
          <w:b/>
        </w:rPr>
        <w:t xml:space="preserve">Quelle: </w:t>
      </w:r>
      <w:r>
        <w:t>https://mcp.opencaselaw.ch/entscheid/bger_4C.410_2005</w:t>
      </w:r>
    </w:p>
    <w:p>
      <w:r>
        <w:t>FR: TF 4C.410/2005 du 1 juin 2006</w:t>
      </w:r>
    </w:p>
    <w:p>
      <w:r>
        <w:t>IT: TF 4C.410/2005 del 1 giugno 2006</w:t>
      </w:r>
    </w:p>
    <w:p>
      <w:pPr>
        <w:pStyle w:val="Heading2"/>
      </w:pPr>
      <w:r>
        <w:t>Erwägungen</w:t>
      </w:r>
    </w:p>
    <w:p>
      <w:r>
        <w:rPr>
          <w:b/>
        </w:rPr>
        <w:t>E. 1</w:t>
      </w:r>
    </w:p>
    <w:p>
      <w:r>
        <w:t>Interjeté par la demanderesse qui a été entièrement déboutée de ses conclusions et dirigé contre un jugement final rendu en dernière instance cantonale par un tribunal supérieur ( art. 48 al. 1 OJ ) sur une contestation civile dont la valeur litigieuse dépasse le seuil de 8'000 fr. ( art. 46 OJ ), le recours en réforme paraît en principe recevable, puisqu'il a été déposé en temps utile ( art. 54 al. 1 OJ ) et dans les formes requises ( art. 55 OJ ).</w:t>
      </w:r>
    </w:p>
    <w:p>
      <w:r>
        <w:rPr>
          <w:b/>
        </w:rPr>
        <w:t>E. 2</w:t>
      </w:r>
    </w:p>
    <w:p>
      <w:r>
        <w:t>La cause revêt à l'évidence des aspects internationaux, notamment parce que le défendeur n'est pas domicilié en Suisse, de sorte que le Tribunal fédéral, saisi d'un recours en réforme, doit vérifier d'office et avec un plein pouvoir d'examen le droit applicable ( ATF 131 III 153 consid. 3), sur la base du droit suisse en tant que lex fori ( ATF 131 III 511 consid. 2.1). La demanderesse fonde son action sur l'existence d'un acte illicite. Comme aucune convention internationale n'est applicable (cf. art. 1 al. 2 LDIP ), il convient d'examiner la question sous l'angle de l' art. 132 LDIP , qui prévoit que les parties peuvent, après l'événement dommageable, convenir à tout moment de l'application du droit du for. L'élection de droit peut intervenir en cours de procès, à condition que les parties expriment clairement leur volonté réelle d'appliquer le droit suisse (cf. art. 116 al. 2 LDIP ; arrêts du Tribunal fédéral 6S.803/1995 du 5 novembre 1996 consid. 2b/bb et consid. 3a non publié de l' ATF 122 III 73 ). Tel est le cas en l'espèce, dès lors que l'arrêt attaqué constate que la demanderesse a conclu à l'application du droit suisse dans sa demande, ce que le défendeur a expressément admis dans sa réponse au fond. Il convient donc d'examiner la présente cause sous l'angle du droit suisse, ce qui n'est du reste pas contesté.</w:t>
      </w:r>
    </w:p>
    <w:p>
      <w:r>
        <w:rPr>
          <w:b/>
        </w:rPr>
        <w:t>E. 3</w:t>
      </w:r>
    </w:p>
    <w:p>
      <w:r>
        <w:t>A titre préalable, la demanderesse invoque une inadvertance manifeste en relation avec les transferts de fonds opérés du compte de B.________ auprès de la banque D.________, sur lequel elle avait versé US$ 37'620'000 au titre du prix d'achat de l'urée. Elle soutient que le détenteur du compte de la banque F.________ de Monaco sur lequel 3'000'000 US$ ont été versés par débit du compte du défendeur auprès de la banque D.________ n'était pas le directeur, comme indiqué faussement dans l'arrêt attaqué, mais le défendeur lui-même.</w:t>
      </w:r>
    </w:p>
    <w:p>
      <w:r>
        <w:rPr>
          <w:b/>
        </w:rPr>
        <w:t>E. 3.1</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w:t>
      </w:r>
    </w:p>
    <w:p>
      <w:r>
        <w:t>L'inadvertance manifeste, susceptible d'être rectifiée d'office par le Tribunal fédéral en application de l' art. 63 al. 2 OJ , suppose que l'autorité, par simple inattention, ait omis de prendre en considération tout ou partie d'une pièce déterminée, versée au dossier, l'ait mal lue ou mal comprise (cf. ATF 121 IV 104 consid 2b p. 106; 115 II 399 consid. 2a). Il va toutefois de soi que la rectification d'une inadvertance manifeste n'a d'intérêt que si elle porte sur un fait pertinent.</w:t>
      </w:r>
    </w:p>
    <w:p>
      <w:r>
        <w:rPr>
          <w:b/>
        </w:rPr>
        <w:t>E. 3.2</w:t>
      </w:r>
    </w:p>
    <w:p>
      <w:r>
        <w:t>En l'espèce, il ressort des constatations cantonales qu'une partie importante du montant versé par la demanderesse en paiement du prix de l'urée a été transférée sur des comptes privés appartenant en particulier aux ayants droit économiques de B.________. Dans ce contexte, il importe peu de savoir précisément à qui appartenait le compte de la banque F.________ à Monaco, dès lors que les fonds qui y ont été versés avaient déjà fait l'objet d'un premier transfert du compte de B.________ sur celui du défendeur auprès de la banque D.________. Il n'y a donc pas lieu d'entrer plus avant sur l'existence d'une erreur manifeste à ce propos, ce point étant sans pertinence pour l'issue du litige.</w:t>
      </w:r>
    </w:p>
    <w:p>
      <w:r>
        <w:rPr>
          <w:b/>
        </w:rPr>
        <w:t>E. 4</w:t>
      </w:r>
    </w:p>
    <w:p>
      <w:r>
        <w:t>La présente cause porte sur une action en dommages-intérêts fondée sur l' art. 41 CO , par laquelle la demanderesse tend à obtenir la réparation d'un préjudice matériel. La responsabilité délictuelle instituée par cette disposition suppose, entre autres conditions, l'existence d'un acte illicite. Lorsque, comme en l'espèce, une atteinte au patrimoine est invoquée, l'acte, pour être qualifié d'illicite, doit enfreindre une norme qui a pour but de protéger le lésé dans les droits atteints par l'acte incriminé ( ATF 132 III 122 consid. 4.1 et les arrêts cités). Tel est le cas de la violation de dispositions pénales qui ont pour but la protection des intérêts patrimoniaux de la victime (cf. ATF 129 IV 322 consid. 2.2.2; Rey, Ausservertragliches Haftpflichtrecht, 2e éd. Zurich 2003, N. 705 ss), dont font notamment partie l'escroquerie ( art. 146 CP ) et l'abus de confiance ( art. 138 CP ). Quant au blanchiment d'argent ( art. 305bis CP ), la jurisprudence a récemment précisé que cette disposition protégeait également les intérêts patrimoniaux de ceux qui sont lésés par le crime préalable, lorsque les valeurs patrimoniales proviennent d'actes délictueux contre des intérêts individuels ( ATF 129 IV 322 consid. 2.2.4). Il convient donc d'examiner si c'est à juste titre que la cour cantonale a refusé d'admettre la réalisation des infractions pénales précitées, ce que la demanderesse conteste dans son recours en réforme.</w:t>
      </w:r>
    </w:p>
    <w:p>
      <w:r>
        <w:rPr>
          <w:b/>
        </w:rPr>
        <w:t>E. 5</w:t>
      </w:r>
    </w:p>
    <w:p>
      <w:r>
        <w:t>A ce propos, la demanderesse reproche en premier lieu à la cour cantonale d'avoir appliqué à tort la maxime in dubio pro reo à la place de l' art. 8 CC .</w:t>
      </w:r>
    </w:p>
    <w:p>
      <w:r>
        <w:t>Le grief est infondé pour deux motifs. D'une part, dans l'arrêt rendu ce jour sur recours de droit public, la Cour de céans est parvenue à la conclusion que les juges cantonaux, contrairement au premier juge, n'avaient précisément pas appliqué le principe in dubio pro reo (cf. arrêt du 1er juin 2006 dans la cause 4P.308/2005, consid. 3.3). D'autre part, s'agissant d'établir les conditions d'application de l' art. 41 CO , le fardeau de la preuve incombe à la partie demanderesse en vertu de la règle issue de l' art. 8 CC selon laquelle chaque partie doit, si la loi ne prescrit le contraire, prouver les faits qu'elle allègue pour en déduire son droit ( ATF 130 III 478 consid. 3.3). Il appartenait donc à la demanderesse de démontrer l'existence des faits constitutifs des infractions sur lesquelles elle fondait ses prétentions et, plus particulièrement, l'intention délictueuse du défendeur. Or, sur ce point, la cour cantonale a conclu, de manière non arbitraire d'ailleurs (cf. arrêt 4P.310/2005 précité, consid. 4.2), qu'il n'avait pas été démontré que le défendeur n'aurait pas eu, d'entrée de cause l'intention de ne pas exécuter ses obligations contractuelles. En faisant supporter les conséquences de cette absence de preuve à la demanderesse, les juges se sont donc seulement limités à une application correcte de l' art. 8 CC .</w:t>
      </w:r>
    </w:p>
    <w:p>
      <w:r>
        <w:rPr>
          <w:b/>
        </w:rPr>
        <w:t>E. 6</w:t>
      </w:r>
    </w:p>
    <w:p>
      <w:r>
        <w:t>Invoquant une violation de l' art. 146 CP , la demanderesse soutient que, contrairement à ce que retient l'arrêt attaqué, tous les éléments constitutifs de l'escroquerie sont réunis.</w:t>
      </w:r>
    </w:p>
    <w:p>
      <w:r>
        <w:rPr>
          <w:b/>
        </w:rPr>
        <w:t>E. 6.1</w:t>
      </w:r>
    </w:p>
    <w:p>
      <w:r>
        <w:t>L'escroquerie au sens de l' art. 146 CP est une infraction intentionnelle (Corboz, Les infractions en droit suisse, vol. I, Berne 2002, N 39 ad art. 146 CP ). Conformément aux règles générales, l'intention doit porter sur l'ensemble des éléments constitutifs objectifs de l'infraction ( ATF 128 IV 18 consid. 3b p. 21). A cet égard, il est déterminant que l'auteur ait agi en se représentant (donc en acceptant) une situation dans laquelle ces éléments sont réalisés ( ATF 122 IV 246 consid. 3a p. 248). S'agissant d'une escroquerie, il faut en particulier que l'auteur ait eu l'intention de commettre une tromperie astucieuse (cf. ATF 128 IV 18 consid. 3b p. 21). Il y a lieu de rappeler que la détermination de ce que l'auteur présumé d'une infraction voulait ou avait l'intention de faire relève des constatations de fait ( ATF 125 IV 49 consid. 2d p. 56; 119 IV 222 consid. 2), qui ne peuvent être remises en cause dans un recours en réforme (cf. supra consid. 3.1).</w:t>
      </w:r>
    </w:p>
    <w:p>
      <w:r>
        <w:rPr>
          <w:b/>
        </w:rPr>
        <w:t>E. 6.2</w:t>
      </w:r>
    </w:p>
    <w:p>
      <w:r>
        <w:t>En l'espèce, on a vu qu'en vertu de l' art. 8 CC , il appartenait à la demanderesse de prouver l'existence d'une intention délictueuse de la part du défendeur. Or, la cour cantonale a constaté qu'elle n'était pas parvenue à démontrer que le défendeur aurait eu, d'entrée de cause, l'intention de ne pas exécuter ses obligations contractuelles (cf. supra consid. 5). En d'autres termes, il n'a pas été établi que le défendeur, en sa qualité d'ayant droit économique de B.________, aurait volontairement cherché à encaisser le prix de vente de l'urée sans fournir la marchandise. Les faits constatés ne permettant donc pas de retenir l'intention du défendeur de tromper astucieusement la demanderesse, ce qui exclut l'existence d'une escroquerie. Il est donc superflu d'examiner l'argumentation de la demanderesse tendant à démontrer que les autres éléments constitutifs de l' art. 146 CP seraient par ailleurs réalisés.</w:t>
      </w:r>
    </w:p>
    <w:p>
      <w:r>
        <w:t>En considérant que cette disposition ne pouvait servir de fondement à l'action en responsabilité pour acte illicite introduite par la demanderesse, la cour cantonale n'a donc pas violé le droit fédéral.</w:t>
      </w:r>
    </w:p>
    <w:p>
      <w:r>
        <w:rPr>
          <w:b/>
        </w:rPr>
        <w:t>E. 7</w:t>
      </w:r>
    </w:p>
    <w:p>
      <w:r>
        <w:t>Se fondant sur l' ATF 129 IV 257 , la demanderesse reproche également aux juges cantonaux de n'avoir pas admis l'existence d'un abus de confiance au sens de l' art. 138 CP .</w:t>
      </w:r>
    </w:p>
    <w:p>
      <w:r>
        <w:rPr>
          <w:b/>
        </w:rPr>
        <w:t>E. 7.1</w:t>
      </w:r>
    </w:p>
    <w:p>
      <w:r>
        <w:t>Commet un abus de confiance au sens de l' art. 138 ch. 1 al. 2 CP celui qui, sans droit, aura employé à son profit ou au profit d'un tiers des valeurs patrimoniales qui lui avaient été confiées. Cette infraction suppose que l'on soit en présence d'une valeur confiée, ce qui signifie que l'auteur en ait la possession en vertu d'un accord ou d'un autre rapport juridique qui implique qu'il n'en a pas la libre disposition et ne peut se l'approprier (Corboz, op. cit. N 4 ad art. 138 CP ). Ainsi, de l'argent remis sur la base d'un prêt consenti dans un but déterminé constitue une chose confiée au sens de la jurisprudence, dès lors que l'on peut déduire de l'accord contractuel un devoir de la part de l'emprunteur de conserver constamment la contre-valeur de ce qu'il a reçu (cf. ATF 129 IV 257 consid. 2.2.2; 124 IV 9 consid. 1; 120 IV 117 consid. 2). Il faut cependant que la destination convenue des fonds puisse assurer la couverture du risque du prêteur ou, du moins, diminuer son risque de perte ( ATF 129 IV 257 consid. 2.3 p. 261). En revanche, selon la jurisprudence et la doctrine, on ne peut parler de somme confiée lorsque l'auteur reçoit l'argent pour lui-même, en contre-partie d'une prestation qu'il a fournie pour son propre compte ( ATF 118 IV 239 consid. 2b p. 241 s.; Niggli/Riedo, Strafgesetzbuch II, Commentaire bâlois 2003, N 45 ad art. 138 CP ; Stratenwerth/Jenny, Schweizerisches Strafrecht, BT I, 6e éd. Berne 2003, N 56 p. 282).</w:t>
      </w:r>
    </w:p>
    <w:p>
      <w:r>
        <w:rPr>
          <w:b/>
        </w:rPr>
        <w:t>E. 7.2</w:t>
      </w:r>
    </w:p>
    <w:p>
      <w:r>
        <w:t>Tel est précisément le cas en l'espèce. Les parties ont conclu un contrat de vente portant sur 200'000 tonnes métriques d'urée au prix de US$ 190 la tonne. En versant au total US$ 38'000'000, la demanderesse s'est donc acquittée de son obligation de payer le prix. B.________ a, pour sa part, reçu l'argent, en contre-partie de la livraison de l'urée qu'elle s'était engagée à fournir. Le fait que le prix était payable d'avance, ce que les parties sont libres de prévoir selon le droit suisse (cf. Venturi, Commentaire romand, N 36 ad art. 184 CO ), ne change rien au fait que la société venderesse pouvait alors disposer librement du montant versé par l'acheteuse. Contrairement à ce que soutient la demanderesse, on ne se trouve pas dans une situation comparable à celle d'un prêt dans lequel l'emprunteur serait tenu de conserver constamment la contre-valeur de ce qu'il a reçu. Au demeurant, il n'a pas été constaté que c'est parce qu'elle avait transféré le montant reçu à titre de prix de vente sur différents comptes appartenant notamment au défendeur, que la société venderesse n'aurait pas été en mesure de fournir l'urée conformément à ses propres obligations.</w:t>
      </w:r>
    </w:p>
    <w:p>
      <w:r>
        <w:t>Le paiement du prix de vente ne constitue donc pas une valeur confiée au sens de l' art. 138 ch. 1 al. 2 CP , de sorte que la cour cantonale n'a pas méconnu le droit fédéral en refusant de reconnaître l'existence d'un abus de confiance.</w:t>
      </w:r>
    </w:p>
    <w:p>
      <w:r>
        <w:rPr>
          <w:b/>
        </w:rPr>
        <w:t>E. 8</w:t>
      </w:r>
    </w:p>
    <w:p>
      <w:r>
        <w:t>Dans son dernier grief, la demanderesse reproche à la cour cantonale de ne pas avoir examiné la question de l'application de l' art. 305bis CP , en relation avec l'existence d'une escroquerie ( art. 146 CP ) et/ou d'un abus de confiance ( art. 138 CP ).</w:t>
      </w:r>
    </w:p>
    <w:p>
      <w:r>
        <w:t>Cette critique tombe à faux, dès lors que l'on vient de voir que c'est à juste titre que la cour cantonale n'a pas retenu l'existence de ces deux infractions. Or, le blanchiment d'argent au sens de l' art. 305bis CP suppose une valeur patrimoniale provenant d'un crime au sens de l' art. 9 CP ( ATF 122 IV 211 consid. 2). Celui-ci faisant en l'occurrence défaut, l'application de l' art. 305bis CP est exclue.</w:t>
      </w:r>
    </w:p>
    <w:p>
      <w:r>
        <w:t>Dans ces circonstances, le recours ne peut qu'être rejeté.</w:t>
      </w:r>
    </w:p>
    <w:p>
      <w:r>
        <w:rPr>
          <w:b/>
        </w:rPr>
        <w:t>E. 9</w:t>
      </w:r>
    </w:p>
    <w:p>
      <w:r>
        <w:t>Compte tenu de l'issue du litige, les frais et dépens seront mis à la charge de la demanderesse, qui succombe (art. 156 al. 1 et 159 al. 1 OJ). L'indemnité allouée à titre de dépens sera prélevée sur les sûretés déposées en application de l' art. 150 al. 2 et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