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4C.403/2004 vom 1. Februar 2005</w:t>
      </w:r>
    </w:p>
    <w:p>
      <w:r>
        <w:t>Bundesgericht, 2005-02-01, FR</w:t>
      </w:r>
    </w:p>
    <w:p>
      <w:r>
        <w:rPr>
          <w:b/>
        </w:rPr>
        <w:t xml:space="preserve">Quelle: </w:t>
      </w:r>
      <w:r>
        <w:t>https://mcp.opencaselaw.ch/entscheid/bger_4C.403_2004</w:t>
      </w:r>
    </w:p>
    <w:p>
      <w:r>
        <w:t>FR: TF 4C.403/2004 du 1 février 2005</w:t>
      </w:r>
    </w:p>
    <w:p>
      <w:r>
        <w:t>IT: TF 4C.403/2004 del 1 febbraio 2005</w:t>
      </w:r>
    </w:p>
    <w:p>
      <w:pPr>
        <w:pStyle w:val="Heading2"/>
      </w:pPr>
      <w:r>
        <w:t>Regeste</w:t>
      </w:r>
    </w:p>
    <w:p>
      <w:r>
        <w:t>contrat de travail; licenciement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atteint le seuil de 8'000 fr. ( art. 46 OJ ), le présent recours en réforme est en principe recevable, puisqu'il a été déposé dans les formes requises ( art. 55 OJ ) et en temps utile ( art. 54 al. 1 OJ ). Il en va de même de la réponse, bien qu'elle ait été adressée par erreur à l'autorité cantonale qui a statué alors qu'elle aurait dû l'être au Tribunal fédéral ( art. 32 al. 4 let. a OJ ).</w:t>
      </w:r>
    </w:p>
    <w:p>
      <w:r>
        <w:rPr>
          <w:b/>
        </w:rPr>
        <w:t>E. 1.2</w:t>
      </w:r>
    </w:p>
    <w:p>
      <w:r>
        <w:t>Le recours en réforme est ouvert pour violation du droit fédéral, mais non pour violation d'un droit de rang constitutionnel ( art. 43 al. 1 OJ ), ni pour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p. 252).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p. 252).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128 III 271 consid. 2b/aa p. 277).</w:t>
      </w:r>
    </w:p>
    <w:p>
      <w:r>
        <w:rPr>
          <w:b/>
        </w:rPr>
        <w:t>E. 1.3</w:t>
      </w:r>
    </w:p>
    <w:p>
      <w:r>
        <w:t>Au surplus, la juridiction de réforme ne peut aller au-delà des conclusions des parties; en revanche, elle n'est liée ni par les motifs développés par les parties ( art. 63 al. 1 OJ ; ATF 130 III 136 consid. 1.4; 128 III 411 consid. 3.2.2 p. 415), ni par l'argumentation juridique suivie par la cour cantonale ( art. 63 al. 3 OJ ; ATF 130 III 136 consid. 1.4; 128 III 22 consid. 2e/cc p. 29).</w:t>
      </w:r>
    </w:p>
    <w:p>
      <w:r>
        <w:rPr>
          <w:b/>
        </w:rPr>
        <w:t>E. 2</w:t>
      </w:r>
    </w:p>
    <w:p>
      <w:r>
        <w:t>La défenderesse reproche à la cour cantonale d'avoir violé l' art. 337 CO . En particulier, les précédents juges auraient dû voir un juste motif de renvoi immédiat dans les arrivées tardives répétées, qui ne permettaient pas, selon les règles de la bonne foi, d'exiger de l'employeur la continuation des rapports de travail.</w:t>
      </w:r>
    </w:p>
    <w:p>
      <w:r>
        <w:rPr>
          <w:b/>
        </w:rPr>
        <w:t>E. 2.1</w:t>
      </w:r>
    </w:p>
    <w:p>
      <w:r>
        <w:t>Selon l' art. 337 al. 1 CO , l'employeur et le travailleur peuvent résilier immédiatement le contrat en tout temps pour de justes motifs. Sont notamment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127 III 351 consid. 4a p. 353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 s.; ATF 129 III 380 consid. 2.1). Par manquement du travailleur, on entend en règle générale la violation d'une obligation découlant du contrat de travail ( ATF 130 III 28 consid. 4.1 p. 31), comme l'obligation d'exécuter le travail ou le devoir de fidélité ( ATF 127 III 351 consid. 4a p. 354 et l'arrêt cité), mais d'autres facteurs peuvent aussi justifier un licenciement immédiat ( ATF 130 III 28 consid. 4.1 p. 31; cf. également ATF 129 III 380 consid. 2.2 et les références citées). En principe, des prestations de travail mauvaises ne constituent pas un juste motif de résiliation immédiate du contrat de travail (arrêt 4C.329/1998 du 23 décembre 1998, reproduit in JAR 1999 p. 271, consid. 2b p. 273; plus récemment arrêt 4C.249/2003 du 23 décembre 2003 consid. 3.1).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(cf. ATF 108 II 444 consid. 2; arrêt 4C.329/1998 du 23 décembre 1998, reproduit in JAR 1999 p. 271, consid. 2b p. 273; 4C.115/1993 du 2 septembre 1993, reproduit in SJ 1995 p. 806, consid. 2 p. 806; plus récemment arrêt 4C.249/2003 du 23 décembre 2003 consid. 3.1).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w:t>
      </w:r>
    </w:p>
    <w:p>
      <w:r>
        <w:rPr>
          <w:b/>
        </w:rPr>
        <w:t>E. 2.2</w:t>
      </w:r>
    </w:p>
    <w:p>
      <w:r>
        <w:t>Selon l'arrêt entrepris, malgré la désinvolture révélée par de nombreuses arrivées tardives, le comportement du demandeur ne pouvait fonder un juste motif de résiliation, au vu de l'ensemble des circonstances, étant notamment précisé que l'employé donnait par ailleurs satisfaction et qu'il n'y avait pas lieu de craindre "un mauvais travail pendant les deux mois restant à courir", jusqu'à l'échéance du délai de congé ordinaire. Il ressort de l'état de fait cantonal que l'employé est arrivé, à certaines occasions plusieurs fois par semaine, à son travail avec un retard pouvant atteindre quarante-cinq minutes et que deux courriers lui ont été adressés les 15 janvier et 10 mars 2003 pour l'avertir de cesser ses arrivées tardives, sous menace de licenciement. Certes, un avertissement précédant un licenciement immédiat ne doit pas nécessairement comporter la menace d'une telle mesure ( ATF 117 II 560 consid. 3b; 116 II 145 consid. 6a). Il n'en demeure pas moins que, même si l'on retient que le demandeur a reçu deux mises en garde en bonne et due forme, un licenciement immédiat n'était pas justifié, dès lors que les griefs adressés à l'employé n'étaient pas propres à rompre le rapport de confiance entre les parties, dans les circonstances de l'espèce et jusqu'à l'issue du délai de préavis de congé de deux mois (cf. arrêt 4C.180/2004 du 16 août 2004 consid. 2.3, concernant le même grief d'arrivées tardives dans une entreprise de la même branche économique que la recourante). En effet, les reproches concernant les arrivées tardives doivent être considérés en rapport avec la compensation que l'employé apportait en travaillant en dehors des heures, même tard le soir, ainsi que le week-end, augmentant ainsi sa productivité et dépassant le nombre de pierres requis pour la rémunération de base. Il faut également retenir que l'employeur a laissé passer un certain temps entre les deux avertissements, du 15 janvier au 10 mars 2003. Dans ces conditions, même s'il s'agit en l'espèce d'un cas limite, la cour cantonale n'a pas excédé le large pouvoir d'appréciation conféré par les art. 337 al. 3 CO et 4 CC en jugeant que le licenciement immédiat du 21 mars 2003 était dénué de justes motifs. En raison de la réserve que s'impose le Tribunal fédéral lorsqu'il revoit une décision d'équité prise en dernière instance cantonale, il n'y a pas lieu, présentement, de s'écarter de la solution adoptée par les précédents juges. Le moyen tiré de la violation de l' art. 337 CO étant mal fondé, le recours sera rejeté.</w:t>
      </w:r>
    </w:p>
    <w:p>
      <w:r>
        <w:rPr>
          <w:b/>
        </w:rPr>
        <w:t>E. 3</w:t>
      </w:r>
    </w:p>
    <w:p>
      <w:r>
        <w:t>Comme la valeur litigieuse ne dépassait pas 30'000 fr. au moment de l'ouverture d'action ( ATF 115 II 30 consid. 5b p. 41), la procédure est gratuite. Cela ne dispense pas d'allouer des dépens ( ATF 115 II 30 consid. 5c). Comme le demandeur a chargé un syndicat de la défense de ses intérêts, et que le service juridique de ce dernier peut être considéré comme un mandataire professionnellement qualifié en matière de droit du travail (cf. arrêt 1P.416/2004 du 28 septembre 2004 consid. 2.3), une indemnité de 2'000 fr. peut lui être allouée à titre de dépens, dès lors que l'assistance ainsi apportée dépasse les prestations ordinaires offertes par le syndicat (cf. ATF 122 V 278 consid. 3e/aa; cf. également arrêt I 381/03 du 26 novembre 2003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