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4C.3/2007 vom 12. November 2007</w:t>
      </w:r>
    </w:p>
    <w:p>
      <w:r>
        <w:t>Bundesgericht, 2007-11-12, DE</w:t>
      </w:r>
    </w:p>
    <w:p>
      <w:r>
        <w:rPr>
          <w:b/>
        </w:rPr>
        <w:t xml:space="preserve">Quelle: </w:t>
      </w:r>
      <w:r>
        <w:t>https://mcp.opencaselaw.ch/entscheid/bger_4C.3_2007</w:t>
      </w:r>
    </w:p>
    <w:p>
      <w:r>
        <w:t>FR: TF 4C.3/2007 du 12 novembre 2007</w:t>
      </w:r>
    </w:p>
    <w:p>
      <w:r>
        <w:t>IT: TF 4C.3/2007 del 12 novembre 2007</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dem Bundesgesetz über die Organisation des Bundesgerichts ( Art. 132 Abs. 1 BGG ).</w:t>
      </w:r>
    </w:p>
    <w:p>
      <w:r>
        <w:rPr>
          <w:b/>
        </w:rPr>
        <w:t>E. 1.2</w:t>
      </w:r>
    </w:p>
    <w:p>
      <w:r>
        <w:t>Der angefochtene Endentscheid ist berufungsfähig, da er eine Zivilrechtsstreitigkeit mit einem Streitwert von über Fr. 8'000.-- betrifft und er mit keinem ordentlichen kantonalen Rechtsmittel angefochten werden kann ( Art. 46 und Art. 48 Abs. 1 OG ). Auf die form- und fristgerecht eingereichte Berufung ist daher einzutreten.</w:t>
      </w:r>
    </w:p>
    <w:p>
      <w:r>
        <w:rPr>
          <w:b/>
        </w:rPr>
        <w:t>E. 2.1</w:t>
      </w:r>
    </w:p>
    <w:p>
      <w:r>
        <w:t>Die Beklagte wendete im kantonalen Verfahren ein, die Klägerin bzw. die Eheleute A.________ könnten keinen Ersatz für ihnen persönlich auferlegte Bussen verlangen. Das Handelsgericht führte dazu zusammengefasst aus, eigentliche strafrechtliche Sanktionen, auch Geldbussen, seien höchstpersönlich und damit grundsätzlich zivilrechtlich nicht ersatzfähig. Nach der neueren Rechtsprechung des Bundesgerichts seien auch bei Strafsteuern die strafrechtlichen Verfahrensgarantien einzuhalten. Dennoch könne unter Umständen die Ersatzfähigkeit einer Steuerbusse bejaht werden, wenn der Gebüsste das Steuerdelikt zufolge fehlerhafter Beratung oder Risikoaufklärung begangen habe oder wenn bei der Bemessung der Busse dem strafrechtlichen Verschuldensprinzip nicht entsprochen worden sei. Dies treffe im vorliegenden Fall aufgrund der Erfolgsbezogenheit der Strafandrohung für Steuerhinterziehung als auch eines gewissen Schematismus in der Handhabung zu. So sei in keinem der Strafurteile auf die unterschiedliche Situation bezüglich des Porsche und des Mercedes und die unterschiedliche Konstellation bei der Klägerin und ihren Inhabern näher eingegangen worden. Auch hätten die Steuer- und Steuerjustizbehörden dem Umstand wenig Gewicht beigemessen, dass A.A.________ durch die Beklagte bzw. seinen Bruder beraten und bei der Beklagten deutlich mehr steuerrechtlicher Sachverstand vorhanden war als bei der Klägerin bzw. den Eheleuten A.________. Demnach sei eine Überwälzung der vorliegend ausgefällten Sanktionen auf die Beklagte nicht grundsätzlich ausgeschlossen. Auf Grund ihrer steuerrechtlichen Beratung sei ihr Kausalbeitrag stärker zu gewichten als das Verschulden der Klägerin bzw. der Eheleute A.________. Diesen sei zwar im Zusammenhang mit den innerhalb der Klägerin vorgenommenen Buchungen, welche am Anfang der aufgetretenen Probleme gestanden hätten, ein Selbstverschulden anzulasten. Jedoch hätte die Beklagte in dieser Hinsicht deutlich abmahnen müssen, was sie nicht getan habe.</w:t>
      </w:r>
    </w:p>
    <w:p>
      <w:r>
        <w:t>Aus den dargelegten Gründen verpflichtete die Vorinstanz die Beklagte, der Klägerin als Schadenersatz zwei Drittel der ihr bzw. den Eheleuten A.________ auferlegten Strafsteuern sowie der mit den Strafverfahren verbundenen Rechtsverfolgungskosten zu vergüten. Letztere seien teilweise direkt auf den strafrechtlichen Aspekt bezogen. Sie stünden jedoch teilweise auch im Zusammenhang mit dem der Klägerin und den Eheleuten A.________ anzulastenden Selbstverschulden. Es rechtfertige sich daher die gleiche Aufteilung.</w:t>
      </w:r>
    </w:p>
    <w:p>
      <w:r>
        <w:rPr>
          <w:b/>
        </w:rPr>
        <w:t>E. 2.2</w:t>
      </w:r>
    </w:p>
    <w:p>
      <w:r>
        <w:t>Die Beklagte macht auch vor Bundesgericht geltend, Steuerhinterziehungsbussen seien eigentliche strafrechtliche Sanktionen, weshalb das Handelsgericht zu Unrecht angenommen habe, die der Klage zu Grunde liegenden Bussen und die entsprechenden Rechtsverfolgungskosten stellten ersatzfähigen Schaden dar.</w:t>
      </w:r>
    </w:p>
    <w:p>
      <w:r>
        <w:rPr>
          <w:b/>
        </w:rPr>
        <w:t>E. 2.3.1</w:t>
      </w:r>
    </w:p>
    <w:p>
      <w:r>
        <w:t>Wer als Steuerpflichtiger vorsätzlich oder fahrlässig bewirkt, dass eine Veranlagung zu Unrecht unterbleibt oder dass eine rechtskräftige Veranlagung unvollständig ist, wird gemäss Art. 175 Abs. 1 des Bundesgesetzes über die direkte Bundessteuer vom 14. Dezember 1990 (DBG) und § 208 Abs. 1 Ziff. 1 des Steuergesetzes des Kantons Thurgau vom 14. September 1992 (StG/TG) wegen Steuerhinterziehung mit Busse bestraft. Die Ansätze dieser Bussen werden in Art. 175 DBG und § 208 StG /TG analog geregelt. Der Regelansatz liegt beim vollendeten Delikt bei 100 % des hinterzogenen Steuerbetrags und kann je nach Verschulden bis auf einen Drittel reduziert oder auf das Dreifache erhöht werden; beim versuchten Delikt beträgt der Ansatz in der Regel 2/3 des Ansatzes für das vollendete Delikt. Diese Regelstrafmasse sind nicht schematisch anzuwenden. Vielmehr sind sie als blosser Ausgangspunkt für die Strafzumessung nach dem Verschuldensprinzip zu betrachten (Roman Sieber, in: Kommentar zum schweizerischen Steuerrecht, Hrsg. Martin Zweifel/Peter Athanas, Bd. I/2b, N. 46 zu Art. 175 DBG ; vgl. auch Guido Jenny, Verschuldensprinzip und Strafzumessungsregeln im Steuerstrafrecht, ASA 66/1997 S. 257 ff., S. 258 ff.). Wer vorsätzlich zu einer Steuerhinterziehung anstiftet, Hilfe leistet oder als Vertreter des Steuerpflichtigen eine Steuerhinterziehung bewirkt oder an einer solchen mitwirkt, wird ohne Rücksicht auf die Strafbarkeit des Steuerpflichtigen mit Busse bestraft ( Art. 177 Abs. 1 DBG und § 210 Abs. 1 StG /TG).</w:t>
      </w:r>
    </w:p>
    <w:p>
      <w:r>
        <w:rPr>
          <w:b/>
        </w:rPr>
        <w:t>E. 2.3.2</w:t>
      </w:r>
    </w:p>
    <w:p>
      <w:r>
        <w:t>Allgemein gilt, dass eine Busse den Gebüssten durch eine Vermögensverminderung bestrafen soll. Wie jede Strafe ist auch die Busse höchstpersönlicher Natur, woraus folgt, dass eine vertragliche Vereinbarung, welche einen Dritten verpflichtet, die Busse ganz oder teilweise zu bezahlen, widerrechtlich im Sinne von Art. 20 Abs. 1 OR ist ( BGE 86 II 71 E. 4 S. 76 ff.). Mit der höchstpersönlichen Natur der Busse ist auch nicht vereinbar, dass der Gebüsste bezüglich der durch sie erlittenen Vermögensverminderung von einem Dritten wegen einer Vertragsverletzung Schadenersatz zugesprochen erhält ( BGE 115 II 72 E. 3b S. 75). Nach der Rechtsprechung des Bundesgerichts sind auch Steuerbussen als echte Strafen zu qualifizieren ( BGE 116 IV 262 E. 3b/aa S. 266 f.; 117 Ib 367 E. 4d S. 376; 119 Ib 311 E. 2 S. 314, je mit Hinweisen). In Bezug auf die privatrechtliche Ersatzfähigkeit von Steuerbussen muss daher grundsätzlich dasselbe gelten wie für gewöhnliche Bussen (Thomas Koller, Steuern und Steuerbussen als privatrechtlich relevanter Schaden, ZSR 113/1994 I S. 183 ff., S. 202). Etwas anderes kann aus dem Urteil 4C.316/2001 vom 7. Februar 2002 (zum Teil abgedruckt in: AJP 2003 S. 713 f.) nicht abgeleitet werden, weil dem Bundesgericht damals die Frage der Ersatzfähigkeit von Steuerbussen nicht vorgelegt und sie daher nicht geprüft wurde.</w:t>
      </w:r>
    </w:p>
    <w:p>
      <w:r>
        <w:rPr>
          <w:b/>
        </w:rPr>
        <w:t>E. 2.3.3</w:t>
      </w:r>
    </w:p>
    <w:p>
      <w:r>
        <w:t>In der Lehre wird jedoch angenommen, bei Steuerbussen würden sich in bestimmten Fallkonstellationen Ausnahmen aufdrängen. Eine solche sei zuzulassen, wenn durch ein privatrechtliches Fehlverhalten eines Beraters, insbesondere eines Steuerberaters, dem Steuerpflichtigen die Möglichkeit genommen wird, mittels rechtzeitiger Selbstanzeige eine Strafmilderung zu erlangen (Koller, a.a.O., S. 203; derselbe, Strafsteuern als privatrechtlich ersatzfähiger Schaden-- Ein weiterer Meilenstein in der Rechtsprechung zur Haftung rechtsberatender Berufe, AJP 2003, S. 713 ff., S. 718; Peter Avancini / Gert M. Iro / Helmut Koziol, Österreichisches Bankvertragsrecht, Bd. 1, Wien 1987, S. 167 Rz. 2/146). Wie es sich damit verhält, kann im vorliegenden Fall offenbleiben, da sich aus dem angefochtenen Urteil nicht ergibt, dass die Beklagte den Gebüssten eine Selbstanzeige verunmöglichte.</w:t>
      </w:r>
    </w:p>
    <w:p>
      <w:r>
        <w:rPr>
          <w:b/>
        </w:rPr>
        <w:t>E. 2.3.4</w:t>
      </w:r>
    </w:p>
    <w:p>
      <w:r>
        <w:t>Weiter wird die Meinung vertreten, wenn und soweit ein Steuerpflichtiger eine Steuerbusse ohne eigenes Verschulden als Folge eines Fehlverhaltens eines Dritten zu bezahlen habe, liege keine höchstpersönliche Strafe und damit ein ersatzfähiger Schaden vor (Koller, a.a.O., ZSR 113/1994 I S. 204). Dies treffe zu, wenn ein Steuerberater in Verletzung seiner vertraglichen Haupt- oder Nebenpflicht den beratenen Steuerpflichtigen nicht über bestimmte steuerrechtliche Pflichten aufkläre und dieser deswegen ein Steuerdelikt begehe (Koller, a.a.O., ZSR 113/1994 I S. 202 f.; derselbe, a.a.O., AJP 2003, S. 718 f.; vgl. auch Urteil des BGH vom 31. Januar 1957, publiziert in: Entscheidungen des Bundesgerichtshofes in Zivilsachen [BGHZ] Bd. 23 S. 222 ff., S. 225).</w:t>
      </w:r>
    </w:p>
    <w:p>
      <w:r>
        <w:rPr>
          <w:b/>
        </w:rPr>
        <w:t>E. 2.3.5</w:t>
      </w:r>
    </w:p>
    <w:p>
      <w:r>
        <w:t>Bei der letztgenannten Konstellation liegt eine für die Bestrafung kausale Verletzung vertraglicher Aufklärungspflichten vor. Anders verhält es sich jedoch, wenn der Steuerpflichtige für sein eigenes Verschulden bestraft wurde, weil er - entsprechend dem Grundsatz, dass eine Person bezüglich ihr bekannter Risiken keiner Aufklärung bedarf ( BGE 133 III 97 E. 7.1.1, S. 102) - das Steuerdelikt auch ohne die Aufklärung des Beraters bzw. trotz dessen Tätigwerdens hätte erkennen und vermeiden müssen. In solchen Fällen ist eine Busse höchstpersönlicher Natur. Diese könnte nur verneint werden, wenn einem Steuerpflichtigen eine Busse auferlegt wird, obwohl ihm aufgrund der vertraglich vereinbarten Beratung kein eigenes Verschulden anzurechnen ist. Die Verhängung einer solchen verschuldensunabhängigen Strafe sollte jedoch nach geltendem Recht ausgeschlossen sein, da das strafrechtliche Verschuldensprinzip grundsätzlich auch für Steuerstrafen gilt (Koller, a.a.O., AJP 2003, S. 718; Jenny, a.a.O., S. 258.; Peter Mäusli-Allenspach/Mathias Oertli, Das schweizerische Steuerrecht, Ein Grundriss mit Beispielen, 4. Aufl., S. 275; Zweifel, Die Strafsteuer als Strafe, ASA 58 S. 6 ff.). So setzt die Steuerhinterziehung gemäss Art. 175 DBG und § 208 StG /TG in subjektiver Hinsicht ein Verschulden in der Form von Vorsatz oder Fahrlässigkeit voraus. Dies gilt auch für die Strafbarkeit einer juristischen Person, welcher das Verschulden eines ihrer Organe gemäss den zivilrechtlichen Zurechnungsregeln angelastet wird (Sieber, a.a.O., N. 6 ff. zu Art. 181 DBG ; Peter Wirth, in: Handbücher für die Anwaltspraxis, Bd. VII, Strafverteidigung, Marcel Niggli/Philippe Weissenberger [Hrsg.], S. 347; vgl. auch Zweifel, a.a.O., S. 11 f.).</w:t>
      </w:r>
    </w:p>
    <w:p>
      <w:r>
        <w:rPr>
          <w:b/>
        </w:rPr>
        <w:t>E. 2.4</w:t>
      </w:r>
    </w:p>
    <w:p>
      <w:r>
        <w:t>Die im vorliegenden Verfahren umstrittenen Steuerbussen sind den Eheleuten A.________ und der Klägerin aufgrund ihres eigenen Verschuldens in der Form von Vorsatz bzw. Eventualvorsatz auferlegt worden, wobei auch nach den Feststellungen des Handelsgerichts berücksichtigt wurde, dass die gebüssten Personen von der Beklagten beraten bzw. vertreten wurden. Damit sind die Bussen verschuldensabhängig ausgesprochen worden, weshalb sie als höchstpersönliche Strafen und damit als zivilrechtlich nicht ersatzfähige Vermögensverminderungen zu qualifizieren sind. Daran vermag nichts zu ändern, dass das Handelsgericht das Verschulden der Gebüssten anders bewertete als die Steuerbehörden. Zwar ist gemäss Art. 53 Abs. 2 OR das strafrechtliche Erkenntnis mit Bezug auf die Beurteilung der Schuld und die Bestimmung des Schadens für den Zivilrichter nicht verbindlich. Diese Regelung bezieht sich jedoch nur auf die Beurteilung des zivilrechtlich ersatzfähigen Schadens und erfasst damit die höchstpersönlichen Strafen nicht. Es stand dem Handelsgericht daher nicht zu, die Höhe der Bussen zu überprüfen und diese faktisch zu reduzieren, indem es deren teilweise Bezahlung durch die Beklagte anordnete. Andernfalls wäre die Rechtskraft der Strafurteile in Frage gestellt (vgl. Georges Scyboz, L'effet de la chose jugée au pénal sur le sort de l'action civile, Diss. Freiburg 1976, S. 55).</w:t>
      </w:r>
    </w:p>
    <w:p>
      <w:r>
        <w:t>Das Handelsgericht hat daher Bundesrecht verletzt, wenn es annahm, die der vorliegenden Klage zu Grunde liegenden Steuerbussen seien zivilrechtlich ersatzfähig. Demnach können auch die Kosten, welche in den durch das Verschulden der Gebüssten verursachten Strafsteuerverfahren anfielen, nicht als ersatzfähiger Schaden qualifiziert werden (vgl. Koller, a.a.O., AJP 2003, S. 721). Daraus folgt, dass die Klage abzuweisen ist, ohne dass die übrigen Haftungsvoraussetzungen oder die Frage der Verjährung geprüft werden müssten.</w:t>
      </w:r>
    </w:p>
    <w:p>
      <w:r>
        <w:rPr>
          <w:b/>
        </w:rPr>
        <w:t>E. 3</w:t>
      </w:r>
    </w:p>
    <w:p>
      <w:r>
        <w:t>Nach dem Gesagten ist die Berufung gutzuheissen, das angefochtene Urteil aufzuheben und die Klage abzuweisen. Bei diesem Ausgang des Verfahrens wird die Klägerin kosten- und entschädigungspflichtig (Art. 156 Abs. 1 und 159 Abs. 2 OG). Die Sache ist zur Neuverlegung der Kosten- und Entschädigungsfolgen des kantonalen Verfahrens an die Vorinstanz zurückzuweisen ( Art. 157 und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