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4C.39/2004 vom 8. April 2004</w:t>
      </w:r>
    </w:p>
    <w:p>
      <w:r>
        <w:t>Bundesgericht, 2004-04-08, DE</w:t>
      </w:r>
    </w:p>
    <w:p>
      <w:r>
        <w:rPr>
          <w:b/>
        </w:rPr>
        <w:t xml:space="preserve">Quelle: </w:t>
      </w:r>
      <w:r>
        <w:t>https://mcp.opencaselaw.ch/entscheid/bger_4C.39_2004</w:t>
      </w:r>
    </w:p>
    <w:p>
      <w:r>
        <w:t>FR: TF 4C.39/2004 du 8 avril 2004</w:t>
      </w:r>
    </w:p>
    <w:p>
      <w:r>
        <w:t>IT: TF 4C.39/2004 del 8 aprile 2004</w:t>
      </w:r>
    </w:p>
    <w:p>
      <w:pPr>
        <w:pStyle w:val="Heading2"/>
      </w:pPr>
      <w:r>
        <w:t>Erwägungen</w:t>
      </w:r>
    </w:p>
    <w:p>
      <w:r>
        <w:rPr>
          <w:b/>
        </w:rPr>
        <w:t>E. 1.1</w:t>
      </w:r>
    </w:p>
    <w:p>
      <w:r>
        <w:t>Der anfechtbare Entscheid beruht auf zwei voneinander unabhängigen Begründungen, welche beide angefochten werden müssen, um den Entscheid im Ergebnis umstossen zu können ( BGE 111 II 398 E. 2b S. 399 f.; 107 Ib 264 E. 3b S. 268, mit Hinweisen). Diesem Erfordernis wird der Kläger gerecht, da er mit der Berufung beide Begründungen anficht. Auf die form- und fristgerechte Berufung ist demnach grundsätzlich einzutreten.</w:t>
      </w:r>
    </w:p>
    <w:p>
      <w:r>
        <w:rPr>
          <w:b/>
        </w:rPr>
        <w:t>E. 1.2</w:t>
      </w:r>
    </w:p>
    <w:p>
      <w:r>
        <w:t>Im Berufungsverfahren ist das Bundesgericht an die tatsächlichen Feststellungen der letzten kantonalen Instanz gebunden, sofern sie nicht offensichtlich auf Versehen beruhen, unter Verletzung bundesrechtlicher Beweisvorschriften zu Stande gekommen oder wegen fehlerhafter Rechtsanwendung im kantonalen Verfahren zu ergänzen sind (Art. 63 Abs. 2 und 64 Abs. 2 OG). Die Partei, welche den vorinstanzlich festgestellten Sachverhalt berichtigt oder ergänzt wissen will, hat darüber genaue Angaben mit Aktenhinweisen zu machen. Eine Ergänzung setzt zudem voraus, dass entsprechende Sachbehauptungen bereits im kantonalen Verfahren prozessrechtskonform aufgestellt, von der Vorinstanz aber zu Unrecht für unerheblich gehalten oder übersehen worden sind, was wiederum näher anzugeben ist. Ohne diese Angaben gelten Vorbringen, welche über die tatsächlichen Feststellungen im angefochtenen Urteil hinausgehen, als unzulässige Noven ( Art. 55 Abs. 1 lit c OG ). Für eine blosse Kritik an der Beweiswürdigung der Vorinstanz ist die Berufung nicht gegeben ( BGE 127 III 248 E. 2c; 115 II 484 E. 2a S. 486).</w:t>
      </w:r>
    </w:p>
    <w:p>
      <w:r>
        <w:rPr>
          <w:b/>
        </w:rPr>
        <w:t>E. 1.3</w:t>
      </w:r>
    </w:p>
    <w:p>
      <w:r>
        <w:t>Auf die Berufung ist nicht einzutreten, soweit der Kläger - ohne eine der genannten Ausnahmen von der Bindung des Bundesgerichts an die tatsächlichen Feststellungen der Vorinstanz geltend zu machen - von einem Sachverhalt ausgeht, der von diesen Feststellungen abweicht. Dies gilt insbesondere bezüglich der Behauptungen des Klägers, er habe vom Schreiben des Gewerkschaftssekretärs vom 28. Februar 2002 erst im Verlauf des erstinstanzlichen Verfahrens erfahren und die Klägerin habe das Schreiben vom 10. April 2002 tatsächlich als Einsprache verstanden.</w:t>
      </w:r>
    </w:p>
    <w:p>
      <w:r>
        <w:rPr>
          <w:b/>
        </w:rPr>
        <w:t>E. 2.1</w:t>
      </w:r>
    </w:p>
    <w:p>
      <w:r>
        <w:t>Nach Art. 336b Abs. 1 OR muss die Partei, die gestützt auf Art. 336 und 336a OR eine Entschädigung geltend machen will, gegen die Kündigung längstens bis zum Ende der Kündigungsfrist beim Kündigenden schriftlich Einsprache erheben. Als Einsprache gilt jede Willensäusserung, aus welcher hervorgeht, dass der Arbeitnehmer mit der Entlassung nicht einverstanden ist (Rehbinder/Portmann, Basler Kommentar, 3. Aufl., N. 3 zu Art. 336b OR ; Rehbinder, Berner Kommentar, N. 2 zu Art. 336b OR ). Ob dies zutrifft, ist - wenn der tatsächliche Erklärungswille dem Empfänger nicht bekannt ist - nach dem Vertrauensprinzip zu ermitteln. Demnach sind Willenserklärungen so zu verstehen, wie sie der Empfänger nach dem Wortlaut, dem Zusammenhang und den gesamten Umständen verstehen durfte und musste ( BGE 126 III 119 E. 2a, mit weiteren Hinweisen). Wie die Auslegung nach dem Vertrauensprinzip vorzunehmen ist, stellt eine Rechtsfrage dar, welche das Bundesgericht im Berufungsverfahren überprüfen kann; dabei ist es an die Feststellungen der Vorinstanz über die äusseren Umstände gebunden, unter denen die Erklärungen abgegeben wurden ( BGE 123 III 165 E. 3a S. 168).</w:t>
      </w:r>
    </w:p>
    <w:p>
      <w:r>
        <w:rPr>
          <w:b/>
        </w:rPr>
        <w:t>E. 2.2</w:t>
      </w:r>
    </w:p>
    <w:p>
      <w:r>
        <w:t>Das Obergericht ging davon aus, der Kläger habe nicht nachweisen können, dass die Beklagte das Schreiben des Klägers vom 10. April 2002 als Einsprache verstanden habe und legte dieses Schreiben daher nach dem Vertrauensprinzip aus. Dabei kam das Obergericht zum Ergebnis, dieses Schreiben sei im Sinne des ersten Halbsatzes so zu verstehen, dass der Kläger nach wie vor mit dem Inhalt bzw. der Begründung der Kündigung nicht einverstanden sei, die Kündigung im Übrigen aber nicht in Frage stelle. Zur Begründung verwies das Obergericht auf die Ausführungen des erstinstanzlichen Gerichts, welches annahm, der Kläger hätte sich vom Schreiben des Gewerkschaftssekretärs vom 28. Februar 2002 klar distanzieren müssen, wenn er die Kündigung nicht mehr hätte akzeptieren wollen. Alsdann führt das Obergereicht an, der Vorbehalt rechtlicher Schritte sei unerheblich, da er bloss im Sinne einer Floskel zu verstehen sei, welche Entschlossenheit demonstriere. Demnach liege keine schriftliche Einsprache vor.</w:t>
      </w:r>
    </w:p>
    <w:p>
      <w:r>
        <w:rPr>
          <w:b/>
        </w:rPr>
        <w:t>E. 2.3</w:t>
      </w:r>
    </w:p>
    <w:p>
      <w:r>
        <w:t>Der Kläger rügt dem Sinne nach, das Obergericht sei bei dieser Auslegung von einem unzutreffenden Begriff der Einsprache ausgegangen. Es habe ausser Acht gelassen, dass dazu nach der Lehre bereits genüge, wenn innerhalb der Kündigungsfrist die schriftliche Aufforderung zur Begründung der Kündigung erhoben werde. Das Schreiben des Klägers vom 10. April 2002 ginge weiter, da sich der Kläger darin ausdrücklich rechtliche Schritte gegen die Kündigung vorbehalte.</w:t>
      </w:r>
    </w:p>
    <w:p>
      <w:r>
        <w:rPr>
          <w:b/>
        </w:rPr>
        <w:t>E. 2.4</w:t>
      </w:r>
    </w:p>
    <w:p>
      <w:r>
        <w:t>Der Kläger erhielt eine begründete Kündigung, weshalb er keine Begründung der Kündigung verlangte. Damit ist unerheblich, ob aus einem solchen Begehren hätte abgeleitet werden können, der Kläger sei mit der Entlassung nicht einverstanden. Im Übrigen ist die Mitteilung des Klägers, dass er den Inhalt, beziehungsweise die Begründung (hauptsächlichen Punkte) seiner Kündigung vom 15. Februar 2002 nicht akzeptiere, im Zusammenhang mit seinem Schreiben vom 5. März 2002 zu verstehen, mit dem er eine Richtigstellung der im Kündigungsschreiben erhobenen Vorwürfe verlangte. Dieses Anliegen kommt auch im Schreiben des Gewerkschaftssekretärs vom 28. Februar 2002 zum Ausdruck, das der Kläger gemäss den verbindlichen Feststellungen des Obergerichts kannte. Vor diesem Hintergrund durfte und musste die Beklagte das Schreiben vom 10. April 2002 dahingehend verstehen, dass der Kläger nicht die Kündigung als solche, sondern bloss die Begründung, d.h. gewisse im Kündigungsschreiben gegen ihn erhobenen Vorwürfe nicht akzeptiere. Die Androhung rechtlicher Schritte konnte sich daher entgegen der Annahme des Klägers nicht auf die Forderung einer Entschädigung wegen missbräuchlicher Kündigung, sondern nur auf die negative Feststellung bezüglich der gegen den Kläger erhobenen Vorwürfe beziehen. Demnach hat das Obergericht das Vertrauensprinzip nicht verletzt, wenn es annahm, die Beklagte habe das Schreiben des Klägers vom 10. April 2002 nicht als Einsprache im Sinne von Art. 336b Abs. 1 OR verstehen müssen.</w:t>
      </w:r>
    </w:p>
    <w:p>
      <w:r>
        <w:rPr>
          <w:b/>
        </w:rPr>
        <w:t>E. 3</w:t>
      </w:r>
    </w:p>
    <w:p>
      <w:r>
        <w:t>Gemäss der vorstehenden Erwägung konnte das Obergericht die Klage bundesrechtskonform wegen einer fehlenden rechtzeitigen Einsprache gegen die Kündigung abweisen. Demnach erweist sich die Eventualbegründung, welche davon ausgeht, die Kündigung sei nicht missbräuchlich gewesen, als nicht rechtserheblich. Auf die dagegen gerichtete Kritik des Klägers ist daher mangels eines hinreichenden Rechtsschutzinteresses nicht einzutreten.</w:t>
      </w:r>
    </w:p>
    <w:p>
      <w:r>
        <w:rPr>
          <w:b/>
        </w:rPr>
        <w:t>E. 4</w:t>
      </w:r>
    </w:p>
    <w:p>
      <w:r>
        <w:t>Nach dem Gesagten ist die Berufung abzuweisen, soweit darauf einzutreten ist. Da eine arbeitsrechtliche Streitigkeit vorliegt und der Streitwert im kantonalen Verfahren Fr. 30'000.-- nicht überstieg, ist das Verfahren kostenlos ( Art. 343 Abs. 2 und 3 OR ). Die in der Sache obsiegende Partei hat auch in Verfahren, die gemäss Art. 343 Abs. 3 OR kostenlos sind, grundsätzlich Anspruch auf Ersatz der Parteikosten ( BGE 115 II 30 E. 5c S. 42, mit Hinweis). Der unterliegende Kläger hat daher die Beklagte für das bundesgerichtliche Verfahren zu entschädigen ( Art. 159 Abs. 2 OG ).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