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4C.39/2000 vom 19. April 2000</w:t>
      </w:r>
    </w:p>
    <w:p>
      <w:r>
        <w:t>Bundesgericht, 2000-04-19, FR</w:t>
      </w:r>
    </w:p>
    <w:p>
      <w:r>
        <w:rPr>
          <w:b/>
        </w:rPr>
        <w:t xml:space="preserve">Quelle: </w:t>
      </w:r>
      <w:r>
        <w:t>https://mcp.opencaselaw.ch/entscheid/bger_4C.39_2000</w:t>
      </w:r>
    </w:p>
    <w:p>
      <w:r>
        <w:t>FR: TF 4C.39/2000 du 19 avril 2000</w:t>
      </w:r>
    </w:p>
    <w:p>
      <w:r>
        <w:t>IT: TF 4C.39/2000 del 19 aprile 2000</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 sous réserve de l'examen spécifique des griefs -, puisqu'il a été déposé en temps utile (art. 54 al. 1 et 34 al. 1 let. c OJ) dans les formes requises ( art. 55 OJ ). b) Le recours en réforme est ouvert pour violation du droit fédéral, mais non pour violation directe d'un droit de rang constitutionnel ( art. 43 al. 1 OJ ).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117 II 256 consid. 2a). Dans la mesure où un recourant présente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 Si le Tribunal fédéral ne peut aller au-delà des conclusions des parties, il n'est pas lié par les motifs qu'elles invoquent ( art. 63 al. 1 OJ ), pas plus que par ceux de la décision cantonale ( art. 63 al. 3 OJ ; ATF 123 III 246 consid. 2; 122 III 150 consid. 3).</w:t>
      </w:r>
    </w:p>
    <w:p>
      <w:r>
        <w:rPr>
          <w:b/>
        </w:rPr>
        <w:t>E. 2</w:t>
      </w:r>
    </w:p>
    <w:p>
      <w:r>
        <w:t>En ce qui concerne le paiement des heures supplémentaires, le recours de droit public déposé parallèlement par la défenderesse a été admis et l'arrêt attaqué a été annulé sur ce point, de sorte que le recours en réforme est devenu sans objet à cet égard.</w:t>
      </w:r>
    </w:p>
    <w:p>
      <w:r>
        <w:rPr>
          <w:b/>
        </w:rPr>
        <w:t>E. 3</w:t>
      </w:r>
    </w:p>
    <w:p>
      <w:r>
        <w:t>S'agissant de la différence de salaire par rapport aux minimums exigés par la convention collective, la recourante soulève plusieurs griefs distincts. a) Elle soutient que le litige aurait dû être soumis à la commission paritaire genevoise en raison de clauses arbitrales. En l'absence de toute règle du droit fédéral régissant de manière spéciale la compétence à raison de la matière, cette question relève du droit cantonal. La portée des clauses arbitrales sur le plan interne est donc en principe une question de droit cantonal, dont la violation ne peut donner lieu à un recours en réforme (Poudret, COJ II, n. 1.4.2.5 ad art. 43 OJ ). b) Se fondant sur deux attestations, la cour cantonale a déduit que l'intimé avait trois ans d'expérience dans le domaine de la construction. Il s'agit là d'une constatation de fait, qui ne peut être revue dans un recours en réforme. Sur la base d'une telle constatation, on ne voit pas en quoi la cour cantonale aurait violé l'art. 42 de la convention collective en constatant que l'intimé devait être qualifié de monteur (classe de salaire B), et non pas d'aide-monteur. Les clauses normatives des conventions collectives - que leur champ d'application ait été ou non étendu (Jean-Fritz Stöckli, Commentaire bernois, n. 88 ad art. 356b CO ) - doivent être interprétées selon les méthodes applicables aux lois (arrêt non publié du 19 mars 1998 dans la cause 4C.10/1998, consid. 2a; arrêt non publié du 6 octobre 1993 dans la cause 4C.46/1993, consid. 3; Stöckli, op. cit. , n. 86 et 134 ad art. 356 CO ). On cherche vainement comment la cour cantonale aurait enfreint ces principes. c) La recourante invoque enfin le principe de la bonne foi ( art. 2 CC ) et soutient que l'intimé lui a caché qu'il était monteur, alors qu'elle ne voulait engager qu'un aide-monteur. Sur ce point, la cour cantonale a retenu que l'intimé avait déclaré avoir annoncé ses emplois antérieurs, mais que la recourante l'a contesté. Ainsi, il n'est pas constaté en fait que l'intimé aurait caché, au moment de la conclusion du contrat, ses qualifications et son droit à une rémunération de la classe B. Sur la base de l'état de fait qui lie le Tribunal fédéral saisi d'un recours en réforme ( art. 63 al. 2 OJ ), le moyen tiré d'une violation des règles de la bonne foi est donc dépourvu de tout fondement.</w:t>
      </w:r>
    </w:p>
    <w:p>
      <w:r>
        <w:rPr>
          <w:b/>
        </w:rPr>
        <w:t>E. 4</w:t>
      </w:r>
    </w:p>
    <w:p>
      <w:r>
        <w:t>La procédure est gratuite, puisque la valeur litigieuse, déterminée selon la prétention du demandeur au moment de l'ouverture de l'action ( ATF 115 II 30 consid. 5b), ne dépasse pas 20 000 fr. ( art. 343 al. 2 et 3 CO ); le principe de la gratuité vaut pour tous les degrés de juridiction, y compris pour la procédure devant le Tribunal fédéral ( ATF 98 Ia 561 consid. 6a et les arrêts cités). Des dépens sont en revanche dus par la partie qui succombe, en l'occurrence la recourante ( art. 159 al. 1 OJ ; ATF 115 II 30 consid. 5c). Néanmoins, l'intimé n'est pas représenté par un avocat et n'a pas justifié avoir supporté des dépenses particulières, de sorte qu'il n'a pas droit à des dépens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