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4C.398/2006 vom 13. Februar 2007</w:t>
      </w:r>
    </w:p>
    <w:p>
      <w:r>
        <w:t>Bundesgericht, 2007-02-13, FR</w:t>
      </w:r>
    </w:p>
    <w:p>
      <w:r>
        <w:rPr>
          <w:b/>
        </w:rPr>
        <w:t xml:space="preserve">Quelle: </w:t>
      </w:r>
      <w:r>
        <w:t>https://mcp.opencaselaw.ch/entscheid/bger_4C.398_2006</w:t>
      </w:r>
    </w:p>
    <w:p>
      <w:r>
        <w:t>FR: TF 4C.398/2006 du 13 février 2007</w:t>
      </w:r>
    </w:p>
    <w:p>
      <w:r>
        <w:t>IT: TF 4C.398/2006 del 13 febbraio 2007</w:t>
      </w:r>
    </w:p>
    <w:p>
      <w:pPr>
        <w:pStyle w:val="Heading2"/>
      </w:pPr>
      <w:r>
        <w:t>Erwägungen</w:t>
      </w:r>
    </w:p>
    <w:p>
      <w:r>
        <w:rPr>
          <w:b/>
        </w:rPr>
        <w:t>E. 1</w:t>
      </w:r>
    </w:p>
    <w:p>
      <w:r>
        <w:t>Le jugement dont est recours a été rendu avant l'entrée en vigueur, au 1er janvier 2007, de la loi fédérale sur le Tribunal fédéral du 17 juin 2005 (LTF; RO 2006 p. 1242). En vertu de l'art. 132 al. 1 de cette loi, la cause demeure soumise à la loi fédérale d'organisation judiciaire du 16 décembre 1943 (OJ).</w:t>
      </w:r>
    </w:p>
    <w:p>
      <w:r>
        <w:rPr>
          <w:b/>
        </w:rPr>
        <w:t>E. 2</w:t>
      </w:r>
    </w:p>
    <w:p>
      <w:r>
        <w:t>Le recours est formé par une partie qui a succombé dans des conclusions concernant sa situation juridique personnelle. Il est dirigé contre un jugement final rendu en dernière instance cantonale par un tribunal suprême ( art. 48 al. 1 OJ ), dans une contestation civile dont la valeur litigieuse dépasse le seuil de 8'000 fr. ( art. 46 OJ ). Déposé en temps utile ( art. 54 al. 1 OJ ) et dans les formes requises ( art. 55 OJ ), il est en principe recevable, sous réserve de l'examen des griefs soumis au Tribunal fédéral.</w:t>
      </w:r>
    </w:p>
    <w:p>
      <w:r>
        <w:t>Le recours en réforme peut être exercé pour violation du droit fédéral, à l'exclusion des droits constitutionnels et du droit cantonal ( art. 43 al. 1 OJ ; ATF 127 III 248 consid. 2c et les arrêts cités). Sous réserve d'exceptions qui ne sont pas réalisées dans la présente affaire, le Tribunal fédéral doit conduire son raisonnement juridique sur la base des faits constatés dans la décision attaquée ( art. 63 al. 2 et 64 OJ ; ATF 130 III 102 consid. 2.2 p. 106, 136 consid. 1.4 p. 140) et la partie recourante n'est pas autorisée à critiquer les constatations de fait ni à alléguer des faits qui n'ont pas été constatés ( art. 55 al. 1 let . c OJ).</w:t>
      </w:r>
    </w:p>
    <w:p>
      <w:r>
        <w:t>Le Tribunal fédéral n'est pas lié par l'argumentation des parties ( art. 63 al. 1 OJ ) et il apprécie librement la portée juridique des faits (art. 43 al. 4, 63 al. 3 OJ); néanmoins, d'ordinaire, il se prononce seulement sur les questions juridiques que la partie recourante soulève conformément aux exigences de l' art. 55 al. 1 let . c OJ concernant la motivation du recours ( ATF 117 II 199 consid. 1 p. 200; 116 II 92 consid. 2 p. 94).</w:t>
      </w:r>
    </w:p>
    <w:p>
      <w:r>
        <w:rPr>
          <w:b/>
        </w:rPr>
        <w:t>E. 3</w:t>
      </w:r>
    </w:p>
    <w:p>
      <w:r>
        <w:t>Il est constant que les parties se sont liées par un contrat de mandat et que le défendeur s'est obligé à conseiller et représenter le demandeur dans un procès civil que celui-ci voulait entreprendre contre Y.________. En vertu de l' art. 398 al. 1 et 2 CO , le défendeur était responsable de la bonne et fidèle exécution de cette tâche et, le cas échéant, il doit réparation du dommage que le demandeur a subi par suite d'une exécution défectueuse.</w:t>
      </w:r>
    </w:p>
    <w:p>
      <w:r>
        <w:t>Le mandataire est en général tenu à des devoirs de diligence, d'information et de conseil (Franz Werro, Commentaire romand, ch. 13 ad art. 398 CO ). Il doit avertir le mandant de tout ce qui est important pour lui en relation avec le contrat. Cette information doit être complète, exacte et dispensée à temps. Elle doit notamment porter sur l'opportunité de poursuivre le mandat, sur les difficultés et les risques que son exécution comporte ( ATF 127 III 357 consid. 1d p. 360), et, le cas échéant, sur le caractère inadéquat ou irréalisable des instructions reçues. Elle doit mettre le mandant en mesure de donner des instructions adéquates (Werro, op. cit., ch. 17 ad art. 398 CO ). Un avocat s'oblige à conseiller son client et à agir conformément aux principes de la science juridique. Le risque d'un procès incombe toutefois au client et celui-ci ne saurait le reporter sur l'avocat; en particulier, ce dernier ne garantit pas le succès des opinions qu'il élabore et défend, dans le procès, pour le compte du client ( ATF 127 III 357 consid. 1b p. 359).</w:t>
      </w:r>
    </w:p>
    <w:p>
      <w:r>
        <w:rPr>
          <w:b/>
        </w:rPr>
        <w:t>E. 4</w:t>
      </w:r>
    </w:p>
    <w:p>
      <w:r>
        <w:t>Dans la présente affaire, le demandeur reproche au défendeur de ne l'avoir pas averti que selon l' art. 31 al. 1 CO , le contrat entaché d'erreur aurait dû être invalidé dans le délai d'une année dès la découverte du vice; il soutient que s'il avait reçu cet avertissement, il aurait renoncé au procès et il en aurait évité les frais.</w:t>
      </w:r>
    </w:p>
    <w:p>
      <w:r>
        <w:t>Le Tribunal cantonal constate que le demandeur était dûment et dès le début averti de la difficulté à prévoir au regard de l' art. 31 al. 1 CO , qu'il a instruit le défendeur d'une version des faits obviant à cette difficulté et que le défendeur ne pouvait pas découvrir, sinon à la veille du jugement, l'inanité de la solution choisie par son client. Sur la base des règles précitées, le tribunal retient que le défendeur a correctement exécuté son mandat d'avocat.</w:t>
      </w:r>
    </w:p>
    <w:p>
      <w:r>
        <w:t>Pour contester ce jugement, le demandeur soutient d'une part qu'il n'existe aucune preuve, hormis les déclarations du défendeur qui ne sont prétendument pas dignes de foi, d'une information donnée en temps utile au sujet de la difficulté précitée, et, d'autre part, que le défendeur aurait pu et dû reconnaître dès le début du procès, en raison de son activité dans les procédures pénales entreprises contre Y.________, que les dires de son client étaient inconsistants. Ces deux moyens se contredisent car si le demandeur a donné des instructions au sujet des arguments à développer en rapport avec le délai de l' art. 31 al. 1 CO , instructions qu'il admet avoir données au défendeur, il était nécessairement averti de la difficulté à résoudre. De toute manière, le premier de ces moyens ne met en cause que l'appréciation des preuves par le Tribunal cantonal et le second repose sur des faits - les services fournis par le défendeur dans les procédures pénales - qui ne sont pas constatés dans le jugement. Ils sont donc l'un et l'autre irrecevables au regard de l' art. 55 al. 1 let . c OJ.</w:t>
      </w:r>
    </w:p>
    <w:p>
      <w:r>
        <w:rPr>
          <w:b/>
        </w:rPr>
        <w:t>E. 5</w:t>
      </w:r>
    </w:p>
    <w:p>
      <w:r>
        <w:t>Le demandeur a été éconduit dans son argumentation et ses conclusions prises juste avant le débat final, dans le procès contre Y.________, au motif qu'elles n'avaient pas de lien avec la demande initiale et qu'elles reposaient sur une cause différente, et que la partie adverse ne consentait pas à cette modification de l'objet du litige. Le Tribunal cantonal retient donc avec raison que le défendeur n'a alors commis aucune erreur et qu'il a simplement exécuté les instructions de son client. Sur ce point, le demandeur soutient vainement que le défendeur connaissait déjà auparavant le dossier du procès civil de la société anonyme contre Y.________ car ce fait n'est pas non plus constaté dans le jugement.</w:t>
      </w:r>
    </w:p>
    <w:p>
      <w:r>
        <w:rPr>
          <w:b/>
        </w:rPr>
        <w:t>E. 6</w:t>
      </w:r>
    </w:p>
    <w:p>
      <w:r>
        <w:t>Le recours en réforme se révèle entièrement irrecevable; à titre de partie qui succombe, son auteur doit acquitter l'émolument judiciaire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