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4C.397/2004 vom 15. März 2005</w:t>
      </w:r>
    </w:p>
    <w:p>
      <w:r>
        <w:t>Bundesgericht, 2005-03-15, FR</w:t>
      </w:r>
    </w:p>
    <w:p>
      <w:r>
        <w:rPr>
          <w:b/>
        </w:rPr>
        <w:t xml:space="preserve">Quelle: </w:t>
      </w:r>
      <w:r>
        <w:t>https://mcp.opencaselaw.ch/entscheid/bger_4C.397_2004</w:t>
      </w:r>
    </w:p>
    <w:p>
      <w:r>
        <w:t>FR: TF 4C.397/2004 du 15 mars 2005</w:t>
      </w:r>
    </w:p>
    <w:p>
      <w:r>
        <w:t>IT: TF 4C.397/2004 del 15 marzo 2005</w:t>
      </w:r>
    </w:p>
    <w:p>
      <w:pPr>
        <w:pStyle w:val="Heading2"/>
      </w:pPr>
      <w:r>
        <w:t>Erwägungen</w:t>
      </w:r>
    </w:p>
    <w:p>
      <w:r>
        <w:rPr>
          <w:b/>
        </w:rPr>
        <w:t>E. 1.1</w:t>
      </w:r>
    </w:p>
    <w:p>
      <w:r>
        <w:t>Interjeté par le demandeur, qui a entièrement succombé dans ses conclusions en paiement, et dirigé contre un jugement final rendu en dernière instance cantonale par un tribunal supérieur ( art. 48 al. 1 OJ ), le recours porte sur une contestation civile (cf. ATF 129 III 415 consid. 2.1) dont la valeur litigieuse dépasse largement le seuil de 8'000 fr. ( art. 46 OJ ). Il a en outre été déposé en temps utile ( art. 54 al. 1 OJ ) et dans les formes requises ( art. 55 OJ ). Il convient donc d'entrer en matière.</w:t>
      </w:r>
    </w:p>
    <w:p>
      <w:r>
        <w:rPr>
          <w:b/>
        </w:rPr>
        <w:t>E. 1.2</w:t>
      </w:r>
    </w:p>
    <w:p>
      <w:r>
        <w:t>Le Tribunal fédéral ne peut aller au-delà des conclusions des parties ( art. 63 al. 1 OJ ), mais il n'est pas lié par les motifs invoqués par celles-ci ( art. 63 al. 1 OJ ), ni par l'argumentation juridique retenue par la cour cantonale ( art. 63 al. 3 OJ ; ATF 130 III 136 consid. 1.4).</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Bien qu'il rappelle ces principes, le demandeur ne tient pas compte des faits constatés par la cour cantonale à l'appui des violations du droit fédéral qu'il invoque, sans se prévaloir d'une des exceptions permettant de s'en écarter, ce qui n'est pas admissible. Lors de l'examen des griefs soulevés, la Cour de céans se fondera donc exclusivement sur les éléments de fait ressortant de l'arrêt entrepris.</w:t>
      </w:r>
    </w:p>
    <w:p>
      <w:r>
        <w:rPr>
          <w:b/>
        </w:rPr>
        <w:t>E. 2</w:t>
      </w:r>
    </w:p>
    <w:p>
      <w:r>
        <w:t>Le demandeur se plaint tout d'abord d'une violation de l' art. 334 CO , reprochant à la cour cantonale d'avoir appliqué les principes régissant la résiliation du contrat de travail de durée indéterminée, alors qu'il s'agissait d'un contrat de durée déterminée.</w:t>
      </w:r>
    </w:p>
    <w:p>
      <w:r>
        <w:rPr>
          <w:b/>
        </w:rPr>
        <w:t>E. 2.1</w:t>
      </w:r>
    </w:p>
    <w:p>
      <w:r>
        <w:t>Selon l' art. 334 al. 1 CO , le contrat de travail de durée déterminée se définit comme celui qui prend fin sans qu'il soit nécessaire de donner le congé. La durée déterminée du contrat résulte de la loi, de la nature du contrat ou de la convention des parties (arrêt du Tribunal fédéral des assurances B 90/00 du 26 novembre 2001, in RSAS 2003 p. 503, consid. 4b).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 La caractéristique principale d'un tel contrat est que les parties ne peuvent pas mettre fin aux rapports de travail, sauf si celle qui en prend l'initiative possède un juste motif de résiliation immédiate (Staehelin, Commentaire zurichois, N 17 ad art. 334 CO ; Brunner/ Bühler/Waeber/Bruchez, Commentaire du contrat de travail, 3e éd. Lausanne 2004, N 4 ad art. 334 CO ; Wyler, Droit du travail, Berne 2002, p. 323).</w:t>
      </w:r>
    </w:p>
    <w:p>
      <w:r>
        <w:t>Il ne faut cependant pas perdre de vue que les parties ont la faculté de rompre en tout temps le contrat de travail d'un commun accord (Aufhebungsvertrag), pour autant qu'elles ne cherchent pas, par ce biais, à détourner une disposition impérative de la loi ( ATF 118 II 58 consid. 2a et les arrêts cités). Il en découle que, sous cette réserve, les parties restent libres de mettre fin d'un commun accord à un contrat de travail durée déterminée avant son échéance (Wyler, op. cit., p. 323 in fine). Cette résiliation conventionnelle n'est soumise à aucune forme particulière ( art. 115 CO ) et peut donc être donnée par écrit, oralement ou même tacitement (Müller, Die einvernehmliche Beendigung des Arbeitsverhältnisses, thèse Berne 2001, p. 26 et 42). Pour savoir si un tel accord a été conclu, il convient d'interpréter les déclarations des parties en application de l' art. 18 CO (cf. arrêt du Tribunal fédéral 4C.185/2002 du 27 septembre 2002, consid. 3.1).</w:t>
      </w:r>
    </w:p>
    <w:p>
      <w:r>
        <w:t>Certes, la jurisprudence et la doctrine ont posé des cautèles quant à la possibilité pour les parties de résilier conventionnellement le contrat de travail, pour tenir compte, à juste titre, des conséquences d'un tel accord pour le travailleur, dès lors que celui-ci renonce par ce biais à la protection légale contre le congé (cf. art. 336 ss CO ), restreint ses prétentions futures de chômage (cf. art. 30 al. 1 let. a LACI ; Staehelin, op. cit., N 19 ad art. 334 CO ) et perd une partie de son salaire lorsque la fin des rapports de travail convenue intervient avant l'expiration ordinaire du contrat (arrêt du Tribunal fédéral 4C.49/1999 du 23 avril 1999, consid. 2). La pratique considère ainsi que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 ATF 102 Ia 417 consid. 3c; arrêt 4C.49/1999 précité, consid. 2 et la référence citée). En outre, lorsque la résiliation conventionnelle entre en conflit avec la protection accordée par les art. 336 ss CO , la jurisprudence admet que cette protection ne s'applique pas, pour autant qu'il s'agisse nettement d'un cas de transaction, comportant des concessions réciproques ( ATF 118 II 58 consid. 2b p. 61; 110 II 168 consid. 3b p. 171, confirmé notamment in arrêt du Tribunal fédéral 4C.27/2002 du 19 avril 2002, in SJ 2003 I 222, consid. 2).</w:t>
      </w:r>
    </w:p>
    <w:p>
      <w:r>
        <w:rPr>
          <w:b/>
        </w:rPr>
        <w:t>E. 2.2</w:t>
      </w:r>
    </w:p>
    <w:p>
      <w:r>
        <w:t>Dans le cas d'espèce, il ressort de l'arrêt attaqué que les parties s'étaient initialement liées par un contrat de travail jusqu'au 31 décembre 2006, sans résiliation possible, sous réserve d'une faute grave, ou, pour le directeur adjoint, de fusion de la banque. Passée cette date, il était prévu que le contrat serait reconduit pour une période indéterminée, à moins que l'une des parties ne le résilie avec un préavis de six mois pour la fin de l'année. Il s'agit donc d'un contrat de durée minimale, soumis, jusqu'au 31 décembre 2006, aux règles sur les contrats de durée déterminée. Ainsi, comme le relève pertinemment le demandeur, les considérations de la cour cantonale sur la valeur juridique de la déclaration de résiliation ne sont pas pertinentes, dès lors que, le 31 mai 2001, au moment où celle-ci a été émise, seul un accord des parties permettait de mettre fin de manière anticipée au contrat de travail avant l'échéance du 31 décembre 2006. Toutefois, le Tribunal fédéral n'étant pas lié par l'argumentation juridique retenue par la cour cantonale (cf. supra consid. 1.2), il importe peu que l'arrêt attaqué ne distingue pas clairement entre la résiliation et la possibilité de mettre fin au contrat par accord mutuel, si les faits constatés permettent de conclure à l'existence d'un tel accord.</w:t>
      </w:r>
    </w:p>
    <w:p>
      <w:r>
        <w:t>Pour déterminer si un tel accord a été conclu, il convient, conformément à l' art 18 al. 1 CO , de rechercher tout d'abord la commune et réelle intention des parties, sans s'arrêter aux expressions ou dénominations inexactes dont elles ont pu se servir, soit par erreur, soit pour déguiser la nature véritable de la convention. Si celle-ci peut être établie, il s'agit d'une question de fait qui ne peut être remise en cause dans un recours en réforme ( ATF 129 III 118 consid. 2.5, 664 consid. 3.1). En l'espèce, la cour cantonale a retenu en fait, d'une manière considérée comme non arbitraire dans la procédure sur recours de droit public déposée parallèlement par le demandeur (cf. arrêt de ce jour dans la cause 4P.243/2004, consid. 4.3.3), que celui-ci avait fait part au directeur de son intention de démissionner le 31 mai 2001 et lui avait réitéré cette déclaration le lendemain, proposant de partir fin septembre ou fin octobre 2001, afin de permettre à la banque de s'organiser. Le directeur adjoint avait confirmé son intention de quitter la banque à plusieurs autres personnes durant quelques jours. En outre, lors d'un entretien du 4 juin 2001, le demandeur avait répété son intention irrévocable de démissionner au président du conseil d'administration de la défenderesse. L'autorité inférieure a également constaté que la banque avait accepté cette démission. La proposition claire faite par le directeur adjoint ayant été acceptée par la banque, force est de constater que les parties ont émis la volonté réelle et concordante de mettre fin, par accord mutuel, au contrat de travail les liant (cf. art. 1 CO ), ce qui clôt la discussion portant sur l'existence d'une telle convention dans le cadre du recours en réforme.</w:t>
      </w:r>
    </w:p>
    <w:p>
      <w:r>
        <w:t>Le fait que le directeur adjoint soit par la suite revenu sur sa position ne suffit pas à invalider cet accord, dès lors qu'aucun élément de fait ne laisse apparaître l'existence d'un vice du consentement (cf. art. 23 ss CO ), ce que n'invoque du reste nullement le demandeur.</w:t>
      </w:r>
    </w:p>
    <w:p>
      <w:r>
        <w:t>En outre, on ne se trouve pas dans une situation où l'employeur aurait lui-même proposé de mettre fin au contrat et où l'on pourrait considérer que la position du travailleur n'était pas assez explicite pour en conclure de bonne foi à une acceptation. Au contraire, il s'agit d'un cas où l'initiative vient du salarié, cadre dirigeant, au bénéfice d'une longue expérience et qui était lui-même chargé de l'administration de la banque, soit d'une personne qui, comme l'a retenu la cour cantonale, pouvait mesurer la portée de ses propos. Il ressort d'ailleurs de l'arrêt entrepris que la déclaration du demandeur ne contenait aucune ambiguïté, puisqu'il a fait part de son intention irrévocable de démissionner.</w:t>
      </w:r>
    </w:p>
    <w:p>
      <w:r>
        <w:t>Enfin, rien n'indique que la résiliation conventionnelle prévue détournerait la protection accordée par les art. 336 ss CO , étant précisé que, s'agissant d'un contrat de durée déterminée, les règles régissant la résiliation ordinaire du contrat de travail ne sont en principe pas applicables (cf. supra consid. 2.1). De même, il n'apparaît pas que l'accord passé irait à l'encontre d'une disposition de droit impératif. D'ailleurs, l' art. 334 CO , hormis son alinéa 3 qui fixe à dix ans la durée maximale pour laquelle les parties peuvent se lier par un contrat de durée déterminée, est de droit dispositif (cf. art. 361 s. CO; Streiff/von Kaenel, Arbeitsvertrag, 5e éd. Zurich 1992, N 10 ad art. 334 CO ).</w:t>
      </w:r>
    </w:p>
    <w:p>
      <w:r>
        <w:t>Dans ces circonstances, il convient d'admettre que les parties ont convenu de mettre fin de manière anticipée à leurs relations de travail, étant précisé que le délai au 31 octobre 2001 n'est, quant à lui, pas remis en cause par le demandeur.</w:t>
      </w:r>
    </w:p>
    <w:p>
      <w:r>
        <w:rPr>
          <w:b/>
        </w:rPr>
        <w:t>E. 3</w:t>
      </w:r>
    </w:p>
    <w:p>
      <w:r>
        <w:t>Encore faut-il se demander si la validité de cet accord mutuel est soumise au respect de la forme écrite, comme le soutient le demandeur. Il reproche à ce propos à la cour cantonale d'avoir violé les art. 16 et 18 CO , en considérant que le règlement du personnel, qui imposait la forme écrite en cas de résiliation du contrat individuel de travail, n'était pas applicable.</w:t>
      </w:r>
    </w:p>
    <w:p>
      <w:r>
        <w:rPr>
          <w:b/>
        </w:rPr>
        <w:t>E. 3.1</w:t>
      </w:r>
    </w:p>
    <w:p>
      <w:r>
        <w:t>Il convient de rappeler que les parties n'ont en principe pas à respecter de forme particulière lorsqu'elles mettent fin par accord mutuel à leur contrat de travail (cf. supra consid. 2.1). Il n'est dès lors pas évident qu'une clause exigeant la forme écrite pour résilier le contrat de manière ordinaire s'applique de facto dans l'hypothèse où les parties décident d'un commun accord de mettre un terme à leurs relations de travail (cf. à ce sujet, Müller, op. cit., p. 26). Cette question n'a cependant pas à être tranchée, dès lors qu'en l'occurrence, c'est à juste titre que la cour cantonale a retenu que les parties n'étaient pas soumises à l'obligation de respecter la forme écrite en cas de résiliation. Le fait qu'une telle clause ait figuré dans le règlement d'entreprise dont cherche à se prévaloir le demandeur ne permet pas, à lui seul, de l'opposer au directeur adjoint, car il s'agit d'une exigence dépassant les directives et instructions générales de l' art. 321d CO que le salarié est tenu d'observer dès qu'il en a connaissance (cf. Brunner/ Bühler/Waeber/Bruchez, op. cit., N 2 ad art. 321d CO ). Pour que le respect de la forme écrite en cas de résiliation s'impose au demandeur, il aurait donc fallu que les parties en conviennent. Or, l'arrêt attaqué retient, d'une manière non arbitraire (cf. arrêt de ce jour dans la cause 4P.243/2004, consid. 4.4), que la lettre d'intention exprimant les obligations des parties ne contenait rien à ce sujet, pas plus qu'elle ne soumettait leurs relations au règlement interne de la banque. Ces constatations sur l'absence d'accord des parties quant au respect de la forme écrite rendent vide de sens l'examen de leur comportement sous l'angle du principe de la confiance (cf. ATF 128 III 70 consid. 1a p. 73). C'est donc en vain que le demandeur invoque à ce sujet une violation de l' art. 18 CO . En outre, aucune forme spéciale n'ayant été convenue, on ne saurait reprocher à la cour cantonale d'avoir violé l' art. 16 CO en ne soumettant pas l'accord mutuel entre les parties à l'exigence de la forme écrite.</w:t>
      </w:r>
    </w:p>
    <w:p>
      <w:r>
        <w:t>Dans ces circonstances, le recours ne peut qu'être rejeté.</w:t>
      </w:r>
    </w:p>
    <w:p>
      <w:r>
        <w:rPr>
          <w:b/>
        </w:rPr>
        <w:t>E. 4</w:t>
      </w:r>
    </w:p>
    <w:p>
      <w:r>
        <w:t>Comme la valeur litigieuse, calculée selon la prétention à l'ouverture de l'action ( ATF 115 II 30 consid. 5b p. 41; 100 II 358 consid. a), dépasse largement le seuil de 30'000 fr., la procédure n'est pas gratuite ( art. 343 al. 2 et 3 CO ).</w:t>
      </w:r>
    </w:p>
    <w:p>
      <w:r>
        <w:t>Eu égard à ce qui précède, le demandeur supportera les frais et dépens (art. 156 al. 1 et 159 al. 1 OJ), fixés en tenant compte de la valeur litigieuse ( art. 153a OJ ).</w:t>
      </w:r>
    </w:p>
    <w:p>
      <w:r>
        <w:t>Il n'y a pas lieu de prendre en considération l'intervenante dans la répartition des frais et dépens, dès lors qu'elle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