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4C.392/2000 vom 4. April 2001</w:t>
      </w:r>
    </w:p>
    <w:p>
      <w:r>
        <w:t>Bundesgericht, 2001-04-04, DE</w:t>
      </w:r>
    </w:p>
    <w:p>
      <w:r>
        <w:rPr>
          <w:b/>
        </w:rPr>
        <w:t xml:space="preserve">Quelle: </w:t>
      </w:r>
      <w:r>
        <w:t>https://mcp.opencaselaw.ch/entscheid/bger_4C.392_2000</w:t>
      </w:r>
    </w:p>
    <w:p>
      <w:r>
        <w:t>FR: TF 4C.392/2000 du 4 avril 2001</w:t>
      </w:r>
    </w:p>
    <w:p>
      <w:r>
        <w:t>IT: TF 4C.392/2000 del 4 aprile 2001</w:t>
      </w:r>
    </w:p>
    <w:p>
      <w:pPr>
        <w:pStyle w:val="Heading2"/>
      </w:pPr>
      <w:r>
        <w:t>Regeste</w:t>
      </w:r>
    </w:p>
    <w:p>
      <w:r>
        <w:t>Immaterialgüter-, Wettbewerbs- und Kartellrecht</w:t>
      </w:r>
    </w:p>
    <w:p>
      <w:pPr>
        <w:pStyle w:val="Heading2"/>
      </w:pPr>
      <w:r>
        <w:t>Erwägungen</w:t>
      </w:r>
    </w:p>
    <w:p>
      <w:r>
        <w:rPr>
          <w:b/>
        </w:rPr>
        <w:t>E. 3</w:t>
      </w:r>
    </w:p>
    <w:p>
      <w:r>
        <w:t>Die Wortmarke JAGUAR für Uhren wurde von der Uhrenherstellerin Sindaco S.A. im Jahre 1945 eingetragen, sodann 1985 an die Achor S.A. und 1989 an die heutige Markeninhaberin übertragen. Die Klägerinnen bringen vor, die Markenübertragung im Jahre 1985 habe den Anforderungen des aMSchG nicht genügt und sei sowohl formell als auch materiell ungültig. Die Beklagten könnten sich deshalb nicht auf eine intakte Übertragungskette berufen. a) Die bundesgerichtliche Rechtsprechung zur altrechtlichen Zulässigkeit der Markenlizenz ging von Art. 11 aMSchG aus, wonach eine Marke nur mit dem Geschäft übertragen werden konnte, dessen Erzeugnissen sie zur Unterscheidung dient. Im grundlegenden BGE 61 II 59 erwog das Bundesgericht, die Vorschrift von Art. 11 aMSchG dürfe nicht strenger ausgelegt werden, als es der ihr zugrunde liegende Schutzgedanke erfordere. Die Bestimmung solle das Publikum davor schützen, dass es die mit der Marke versehene Ware als aus einem Geschäftsbetrieb stammend erachte, aus dem sie in Wirklichkeit nicht herrühre. Eine solche Täuschungsgefahr bestehe insbesondere dann nicht, wenn die vom Lizenznehmer vertriebene Ware mit derjenigen des Lizenzgebers identisch sei, da in einem solchen Falle das Publikum nicht Gefahr laufe, durch die Marke zum Kauf einer anderen Ware veranlasst zu werden, als es sich darunter vorstellt ( BGE 61 II 59 S. 61/2, bestätigt in BGE 72 II 423 E. 6a S. 426 ; 75 I 340 E. 2d S. 347; 79 II 219 E. 2 S. 221; 83 II 312 E. 4 S. 330; 84 IV 119 E. 1; 101 II 293 E. 2c S. 300). Ob diese Anforderungen für die Wahrung der altrechtlichen Priorität unter der Geltung des neuen Rechts noch immer nachgewiesen werden müssen oder ob der Lehre zu folgen wäre, die eine rückwirkende Heilung altrechtlich unwirksamer Leerübertragungen befürwortet (Lucas David, Basler Kommentar, N. 10 zu Art. 76 MSchG ; tendenziell wohl auch Marbach, Das neue Markenschutzgesetz: Die Übergangsbestimmungen, AJP 1993 S. 550), kann offen bleiben, da - wie sich nachfolgend ergibt - die altrechtlichen Anforderungen an eine gültige Markenübertragung erfüllt sind. b) Gemäss den Feststellungen im angefochtenen Urteil wurden die zur Herstellung der JAGUAR-Uhren notwendigen Produktionsmittel nach 1980 an Marco Mutti übergeben, welcher sodann die JAGUAR-Uhren mit dem Einverständnis der damaligen Markeninhaberin Sindaco S.A. herstellte. Weil somit die Sindaco S.A. selbst keine Uhren der Marke JAGUAR mehr produzierte, wurden unter der Marke JAGUAR nicht Uhren verschiedener Hersteller angeboten, was die Gefahr einer Täuschung des Publikums ausschloss (vgl. BGE 75 I 340 E. 3 S. 349). Soweit sich die Klägerinnen gegen diese auf einer Würdigung der Beweise beruhenden Feststellungen der Vorinstanz wenden, kann auf ihre Berufung nicht eingetreten werden (oben E. 1b). Entgegen ihrer Ansicht bedarf der Lizenzvertrag sodann nicht der Schriftform und ist der Lizenznehmer grundsätzlich weder berechtigt, das Produkt nach seinem Belieben umzugestalten noch dem Lizenzgeber Weisungen bezüglich der Qualität zu erteilen (Heinrich David, a.a.O., N. 18a zu Art. 11 aMSchG ). Die Vorinstanz hat ohne Bundesrechtsverletzung die Gefahr der Täuschung des Publikums ausgeschlossen. c) Nach den Feststellungen der Vorinstanz bewilligte die Sindaco S.A. der Achor S.A. mit Schreiben vom 3. August 1983 den Gebrauch der Uhrenmarke JAGUAR. Spätestens ab dem gleichen Zeitpunkt stellte Marco Mutti Uhren der Marke JAGUAR für die Achor S.A. her, wobei sich Letztere finanziell an den Produktionsmitteln beteiligte. Die Vorinstanz folgerte aus diesen Tatsachen bundesrechtskonform, dass die Achor S.A. somit die Produktionsmittel in rechtsgenüglicher Weise übernommen hatte. Weil die JAGUAR-Uhren weiterhin von derselben Person mit den gleichen Maschinen produziert wurden, ist eine Täuschungsgefahr zu verneinen. Die altrechtlichen Voraussetzungen für die Erteilung einer Markenlizenz an die Achor S.A. waren damit gegeben. Nachdem das Handelsgericht nicht von einem offenen Beweisergebnis ausgegangen ist, kann entgegen der Auffassung der Klägerinnen insbesondere Art. 8 ZGB nicht verletzt sein ( BGE 119 II 114 E. 4c S. 117; 118 II 142 E. 3a S. 147, je mit Hinweisen); eine Überprüfung der Beweiswürdigung im Berufungsverfahren kann im Übrigen auch nicht unter Hinweis auf Art. 8 ZGB erwirkt werden. Dass das Handelsgericht den Markengebrauch durch die Lizenznehmerin bundesrechtskonform der Lizenzgeberin angerechnet hat, bestreiten die Klägerinnen zu Recht nicht ( BGE 116 II 463 E. 2b/aa S. 465/6 mit Hinweisen). d) Schliesslich ist die Auffassung der Vorinstanz bundesrechtlich nicht zu beanstanden, dass die Uhrenmarke JAGUAR mit Vertrag vom 24. Mai 1985 auf die Anchor S.A. übertragen wurde. Nach der Rechtsprechung zum alten Recht konnte eine Marke mit dem Geschäftsbetrieb formlos und ohne Registereintrag übertragen werden; der nur deklaratorisch wirkende Registereintrag musste nicht mit dem materiellen Recht an der Marke übereinstimmen ( BGE 108 II 216 E. 1a S. 218; 99 Ib 336 E. 2b S. 340 mit Hinweisen). Im Streitfall obliegt es daher dem Gericht zu beurteilen, wer an einer Marke materiell berechtigt ist ( BGE 99 Ib 336 E. 2b S. 340/1). Dies war nach der Übertragung vom 24. Mai 1985 die Achor S.A. Damit stimmte die materielle Rechtslage mit dem Registereintrag überein, weshalb nicht einzusehen ist, inwiefern Art. 11 Abs. 2 aMSchG verletzt sein sollte. Etwas anderes lässt sich auch aus dem von den Klägerinnen zur Begründung ihres Standpunktes angeführten BGE 83 II 312 E. 6 S. 333 nicht entnehmen, denn dieser Fall unterschied sich von dem vorliegend zu beurteilenden Sachverhalt gerade dadurch, dass dort die im Register zu Unrecht eingetragene Beklagte an der strittigen Marke materiell nicht berechtigt war. Nach dem Gesagten hat die Vorinstanz kein Bundesrecht verletzt, wenn sie sinngemäss zum Schluss gelangte, dass allein die materielle Berechtigung an der Marke entscheidend und ein allfälliger Mangel der Anmeldung unerheblich sei.</w:t>
      </w:r>
    </w:p>
    <w:p>
      <w:r>
        <w:rPr>
          <w:b/>
        </w:rPr>
        <w:t>E. 4</w:t>
      </w:r>
    </w:p>
    <w:p>
      <w:r>
        <w:t>Die Klägerinnen halten daran fest, dass die Wortmarke JAGUAR der Beklagten durch Nichtgebrauch untergegangen sei. Die einredeweise Geltendmachung des Nichtgebrauchs einer Marke untersteht wie sämtliche Rechtsausübung dem Grundsatz von Treu und Glauben (vgl. Alois Troller, Immaterialgüterrecht, Bd. II., 3. Aufl. , S. 1021). Das Recht auf Bestreitung des markenmässigen Gebrauchs kann in gleicher Weise wie andere immaterialgüterrechtliche Ansprüche verwirken ( BGE 125 III 193 E. 1e S. 204; 117 II 575 E. 4a S. 577; 114 II 106 E. 4 S. 111; 109 II 338 E. 2a S. 340). Die Vorinstanz stellte fest, dass der markenmässige Gebrauch der Wortmarke JAGUAR durch die Beklagten in der Schweiz ab 1966 urkundlich belegt ist. Die Klägerinnen bringen sodann gegen die Erwägung, sie hätten bei pflichtgemässer Aufmerksamkeit seit 1966 Kenntnis von der Verwendung der Uhrenmarke JAGUAR haben müssen, keine substanziierten Rügen vor. Gemäss dem angefochtenen Urteil haben sich die Klägerinnen jedoch erst im Jahre 1992 gegen die Verwendung der Wortmarke JAGUAR durch die Beklagten zur Wehr gesetzt. Sollten den Klägerinnen jemals Ansprüche gegen die Beklagten zugestanden haben, ist die Auffassung, dass diese Rechte aufgrund der über 25-jährigen widerspruchslosen Duldung des Gebrauchs der Wortmarke JAGUAR durch die Beklagten bzw. deren Rechtsvorgängerinnen verwirkt sind, bundesrechtlich nicht zu beanstanden; jedenfalls aber haben die Klägerinnen bei dieser Sachlage das Recht verwirkt, sich für die Zeit vor 1966 auf den Nichtgebrauch der strittigen Marke durch die Beklagten zu berufen. Damit hat die Vorinstanz kein Bundesrecht verletzt, wenn sie von einem rechtserhaltenden Markengebrauch der Beklagten seit dem Jahre 1945 ausgegangen ist.</w:t>
      </w:r>
    </w:p>
    <w:p>
      <w:r>
        <w:rPr>
          <w:b/>
        </w:rPr>
        <w:t>E. 5</w:t>
      </w:r>
    </w:p>
    <w:p>
      <w:r>
        <w:t>Bezüglich der von den Beklagten verwendeten Wort-/Bildmarke JAGUAR mit Kopf im Profil kam die Vorinstanz zum Schluss, das Wort JAGUAR erscheine bei diesem Zeichen als Hauptelement, weshalb die Wort-/Bildmarke JAGUAR mit Kopf im Profil lediglich eine Abwandlung der älteren Wortmarke JAGUAR darstelle und in deren Schutzbereich falle. Die Klägerinnen teilen diese Auffassung. Sie wenden sich aber insofern gegen das angefochtene Urteil, als nach ihrer Ansicht bereits die Wortmarke JAGUAR der Beklagten gegen die klägerische Marke verstosse, weshalb dies auch für die abgewandelte Wort-/Bildmarke gelten müsse. Nachdem sich aus den vorstehenden Erwägungen jedoch ergibt, dass sich die Klägerinnen gegenüber den Beklagten nicht auf prioritäre Rechte an der für Uhren verwendeten Wortmarke JAGUAR berufen können, fehlt es in Bezug auf die Wort-/Bildmarke JAGUAR an der Grundlage für die von den Klägerinnen vorgebrachte Rüge; diese erweist sich daher als unbegründet.</w:t>
      </w:r>
    </w:p>
    <w:p>
      <w:r>
        <w:rPr>
          <w:b/>
        </w:rPr>
        <w:t>E. 6</w:t>
      </w:r>
    </w:p>
    <w:p>
      <w:r>
        <w:t>Die Klägerinnen warfen den Beklagten im kantonalen Verfahren eine Verletzung des UWG vor, da die Beklagten zusätzlich zu der Wortmarke JAGUAR Bild- und Ausstattungselemente der Klägerinnen übernommen hätten und derart "Trittbrettfahren" betreiben würden. Das Handelsgericht erwog hierzu, die von den Parteien benutzten Zeichen seien sich ohne Zweifel ähnlich, wobei die Ähnlichkeit in erster Linie vom identischen Wort JAGUAR herrühre. Es sei auch durchaus nachvollziehbar, dass ein Durchschnittskunde die von den Beklagten angebotenen Uhren mit der um Einiges bekannteren Automarke JAGUAR in Verbindung bringe. Es sei jedoch nicht anzunehmen, dass die den Beklagten anzurechnende Annäherung in der Ausgestaltung des Zeichens und der Ausstattung der Produkte eine zusätzliche erhebliche Verwechslungsgefahr schaffen könne. Im Weiteren sei das Verhalten der Klägerinnen mit dem Grundsatz von Treu und Glauben nicht vereinbar, denn diese hätten zeitlich nach den Beklagten Uhren unter der Marke JAGUAR auf den Markt gebracht, obwohl den Beklagten diesbezüglich prioritäre Rechte zustünden. Die Klägerinnen könnten bei dieser Sachlage den proritär berechtigten Beklagten nicht vorwerfen, sie wollten von ihrem guten Ruf profitieren. In der Berufung beharren die Klägerinnen darauf, dass das Verhalten der Beklagten als unlauter zu qualifizieren sei. Ihre Argumentation beruht indessen wiederum auf der Prämisse, dass die beklagtische Wortmarke JAGUAR für Uhren nichtig sei. Da davon jedoch gerade nicht ausgegangen werden kann, ist auch diese Rüge unbegründet.</w:t>
      </w:r>
    </w:p>
    <w:p>
      <w:r>
        <w:rPr>
          <w:b/>
        </w:rPr>
        <w:t>E. 7</w:t>
      </w:r>
    </w:p>
    <w:p>
      <w:r>
        <w:t>Das Handelsgericht erwog, es könne den Beklagten nicht verwehrt werden, ihren Uhrenhändlern zu gestatten, sich als "JAGUAR OFFICIAL AGENT" auszugeben. Soweit die Plakette mit dieser Aufschrift zu Verwechslungen führen könne, liege der Grund darin, dass die von den Parteien verwendete Wortmarke identisch sei, wobei sich die Beklagten für Uhren auf prioritäre Rechte berufen könnten. Die von den Klägerinnen dagegen gerichteten Vorbringen vermögen zunächst insoweit nicht durchzudringen, als sie die Nichtigkeit der von den Beklagten verwendeten Marke voraussetzen. Ist demnach die Verwendung der Plakette mit der Aufschrift "JAGUAR OFFICIAL AGENT" lauterkeitsrechtlich nicht zu beanstanden, da sich die Aussage als zutreffend erweist, kann auch kein "unlauterer Wettbewerb durch Begünstigung" darin erblickt werden, dass die Beklagten den Abnehmern ihrer Uhren ein entsprechendes Schild zur Verfügung stellen. Treffen die Detailhändler zusätzliche Massnahmen, um sich an die klägerische Automarke anzulehnen und von deren Ruf zu profitieren, kann dies im Einzelfall zwar unlauter sein, ist aber nicht den Beklagten anzulasten. Das angefochtene Urteil ist demnach auch in dieser Hinsicht zu bestätigen.</w:t>
      </w:r>
    </w:p>
    <w:p>
      <w:r>
        <w:rPr>
          <w:b/>
        </w:rPr>
        <w:t>E. 8</w:t>
      </w:r>
    </w:p>
    <w:p>
      <w:r>
        <w:t>Die Klägerinnen wenden sich schliesslich gegen die Abweisung der geltend gemachten Firmen und namensrechtlichen Ansprüche durch das Handelsgericht. Nachdem jedoch entgegen ihrer Auffassung von der Gültigkeit der Wortmarke JAGUAR der Beklagten auszugehen ist, sind die vorinstanzlichen Erwägungen bundesrechtlich nicht zu beanstanden. Namentlich geht das angefochtene Urteil bundesrechtskonform davon aus, dass bei einer Abwägung sämtlicher Interessen, welche bei der Kollision zwischen Firmen- und Namensrecht einerseits sowie Markenrecht anderseits vorzunehmen ist ( BGE 126 III 239 E. 2c S. 245; 125 III 91 E. 3c S. 93 mit Hinweisen), der Beklagten 1 nicht verwehrt sein kann, in ihrer Firma (neben anderen) die Worte "montres Jaguar" zu führen.</w:t>
      </w:r>
    </w:p>
    <w:p>
      <w:r>
        <w:rPr>
          <w:b/>
        </w:rPr>
        <w:t>E. 9</w:t>
      </w:r>
    </w:p>
    <w:p>
      <w:r>
        <w:t>Damit erweisen sich die von den Klägerinnen vorgebrachten Rügen als unbegründet, soweit darauf einzutreten ist. Die Berufung ist deshalb abzuweisen. Bei diesem Verfahrensausgang werden die Klägerinnen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