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4C.387/2006 vom 9. Februar 2007</w:t>
      </w:r>
    </w:p>
    <w:p>
      <w:r>
        <w:t>Bundesgericht, 2007-02-09, FR</w:t>
      </w:r>
    </w:p>
    <w:p>
      <w:r>
        <w:rPr>
          <w:b/>
        </w:rPr>
        <w:t xml:space="preserve">Quelle: </w:t>
      </w:r>
      <w:r>
        <w:t>https://mcp.opencaselaw.ch/entscheid/bger_4C.387_2006</w:t>
      </w:r>
    </w:p>
    <w:p>
      <w:r>
        <w:t>FR: TF 4C.387/2006 du 9 février 2007</w:t>
      </w:r>
    </w:p>
    <w:p>
      <w:r>
        <w:t>IT: TF 4C.387/2006 del 9 febbraio 2007</w:t>
      </w:r>
    </w:p>
    <w:p>
      <w:pPr>
        <w:pStyle w:val="Heading2"/>
      </w:pPr>
      <w:r>
        <w:t>Regeste</w:t>
      </w:r>
    </w:p>
    <w:p>
      <w:r>
        <w:t>contrat de travail; mesures provisionnelles | Droit des contrats</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Le Tribunal fédéral examine d'office et librement la recevabilité des recours qui lui sont soumis ( ATF 132 I 140 consid. 1.1; 132 III 291 consid. 1). En l'espèce, force est de constater d'emblée qu'un recours en réforme est exclu déjà parce que la décision attaquée émane d'un tribunal inférieur n'ayant pas statué comme autorité de recours ( art. 48 al. 2 let. a OJ ; ATF 117 II 504 consid. 2). Il s'ensuit que le recours doit être déclaré irrecevable.</w:t>
      </w:r>
    </w:p>
    <w:p>
      <w:r>
        <w:rPr>
          <w:b/>
        </w:rPr>
        <w:t>E. 3</w:t>
      </w:r>
    </w:p>
    <w:p>
      <w:r>
        <w:t>Compte tenu de l'issue du litige, les frais seront mis à la charge de la défenderesse, qui succombe ( art. 156 al. 1 OJ ). Il n'y a en revanche pas lieu d'allouer des dépens au demandeur, qui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