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4C.383/2006 vom 27. Februar 2007</w:t>
      </w:r>
    </w:p>
    <w:p>
      <w:r>
        <w:t>Bundesgericht, 2007-02-27, FR</w:t>
      </w:r>
    </w:p>
    <w:p>
      <w:r>
        <w:rPr>
          <w:b/>
        </w:rPr>
        <w:t xml:space="preserve">Quelle: </w:t>
      </w:r>
      <w:r>
        <w:t>https://mcp.opencaselaw.ch/entscheid/bger_4C.383_2006</w:t>
      </w:r>
    </w:p>
    <w:p>
      <w:r>
        <w:t>FR: TF 4C.383/2006 du 27 février 2007</w:t>
      </w:r>
    </w:p>
    <w:p>
      <w:r>
        <w:t>IT: TF 4C.383/2006 del 27 febbraio 2007</w:t>
      </w:r>
    </w:p>
    <w:p>
      <w:pPr>
        <w:pStyle w:val="Heading2"/>
      </w:pPr>
      <w:r>
        <w:t>Regeste</w:t>
      </w:r>
    </w:p>
    <w:p>
      <w:r>
        <w:t>contrat de prêt | Droit des contrats</w:t>
      </w:r>
    </w:p>
    <w:p>
      <w:pPr>
        <w:pStyle w:val="Heading2"/>
      </w:pPr>
      <w:r>
        <w:t>Erwägungen</w:t>
      </w:r>
    </w:p>
    <w:p>
      <w:r>
        <w:rPr>
          <w:b/>
        </w:rPr>
        <w:t>E. 1</w:t>
      </w:r>
    </w:p>
    <w:p>
      <w:r>
        <w:t>La loi sur le Tribunal fédéral du 17 juin 2005 (LTF; RS 173.110) est entrée en vigueur le 1er janvier 2007 (RO 2006 p. 1242). L'acte attaqué ayant été rendu avant cette date, la procédure reste régie par la loi fédérale d'organisation judiciaire (OJ; art. 132 al. 1 LTF ).</w:t>
      </w:r>
    </w:p>
    <w:p>
      <w:r>
        <w:rPr>
          <w:b/>
        </w:rPr>
        <w:t>E. 2.1</w:t>
      </w:r>
    </w:p>
    <w:p>
      <w:r>
        <w:t>Interjeté en temps utile ( art. 54 al. 1 OJ ) et dans les formes requises ( art. 55 OJ ) par la partie qui a succombé dans ses conclusions condamnatoires, le présent recours est recevable.</w:t>
      </w:r>
    </w:p>
    <w:p>
      <w:r>
        <w:rPr>
          <w:b/>
        </w:rPr>
        <w:t>E. 2.2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w:t>
      </w:r>
    </w:p>
    <w:p>
      <w:r>
        <w:rPr>
          <w:b/>
        </w:rPr>
        <w:t>E. 3.1</w:t>
      </w:r>
    </w:p>
    <w:p>
      <w:r>
        <w:t>La Chambre civile a examiné le cas sous l'angle du droit suisse. Les parties s'abstiennent, à juste titre, de le lui reprocher (cf. art. 117 al. 3 let . c LDIP; ATF 132 III 609 consid. 4 p. 615 in fine). Les conditions générales du défendeur, versées au dossier, comportent d'ailleurs une élection de droit expresse allant dans le même sens (art. 14).</w:t>
      </w:r>
    </w:p>
    <w:p>
      <w:r>
        <w:rPr>
          <w:b/>
        </w:rPr>
        <w:t>E. 3.2</w:t>
      </w:r>
    </w:p>
    <w:p>
      <w:r>
        <w:t>Le fondement juridique des relations commerciales ayant donné lieu à la présente contestation n'est l'objet d'aucune controverse entre les parties. Comme les juridictions cantonales l'ont admis à bon droit, il s'agit d'un contrat de giro bancaire, avec convention de compte courant, soumis aux règles du mandat ( art. 394 ss CO ). Un ordre de virement donné dans le cadre d'un tel contrat doit être considéré comme une instruction du mandant à l'égard de la banque mandataire ( art. 397 al. 1 CO ; ATF 126 III 20 consid. 3a/aa et les références). Le bénéficiaire de cet ordre - en l'occurrence, la personne morale à laquelle le demandeur a octroyé le prêt de 850'000 US$ − étant client du même établissement bancaire que le donneur d'ordre, une assignation directe, relevant des art. 466 ss CO , est venue se greffer sur ce mandat (cf. ATF 132 III 609 consid. 4 p. 615 et les auteurs cités).</w:t>
      </w:r>
    </w:p>
    <w:p>
      <w:r>
        <w:rPr>
          <w:b/>
        </w:rPr>
        <w:t>E. 3.3</w:t>
      </w:r>
    </w:p>
    <w:p>
      <w:r>
        <w:t>Le mandataire est responsable de la bonne et fidèle exécution du mandat ( art. 398 al. 2 CO ). Il répond du dommage qu'il cause au mandant intentionnellement ou par négligence ( art. 321e al. 1 CO applicable par renvoi de l' art. 398 al. 1 CO ). C'est au mandant qu'il appartient de prouver que le mandataire a manqué à la diligence due (Luc Thévenoz, Commentaire romand, n. 55 ad art. 97 CO ). Le contenu de l'obligation d'une banque chargée d'un virement découle, en principe, uniquement de la convention passée avec le donneur d'ordre. Cette obligation est ainsi indépendante des relations juridiques entre le mandant et le bénéficiaire ( ATF 126 III 20 consid. 3a/aa; 124 III 253 consid. 3c). Autrement dit, la relation entre l'assignant et l'assignataire, appelée rapport de valeur, est une res inter alios acta pour l'assigné (Silvia Tevini Du Pasquier, Commentaire romand, n. 2 ad art. 466 CO ). Le mandant a le pouvoir de donner des instructions au mandataire. L'instruction est une manifestation de volonté sujette à réception par laquelle le mandant indique au mandataire comment les services doivent être exécutés (Franz Werro, Commentaire romand, n. 3 ad art. 397 CO ). En vertu de l' art. 397 al. 1 CO , le mandataire n'a, en principe, pas le droit de s'en écarter. En tant que déclaration de volonté unilatérale, l'instruction doit être interprétée en conformité avec les règles déduites de l' art. 18 al. 1 CO , qui valent aussi pour l'interprétation des actes unilatéraux (cf. Bénédict Winiger, Commentaire romand, n. 12 ad art. 18 CO ). Par conséquent, pour déterminer le sens d'une instruction qui lui est donnée, le mandataire, doit se mettre à la place du mandant afin de déterminer la volonté réelle de celui-ci. Dans cette recherche, il pourra attribuer à l'instruction le sens que tout mandataire raisonnable et correct aurait pu et dû lui donner dans les mêmes circonstances. Si la volonté réelle du mandant n'est pas reconnaissable, c'est le sens objectif de la déclaration qui est déterminant. Le juge doit alors rechercher comment le mandataire pouvait et devait interpréter de bonne foi l'instruction du mandant (Walter Fellmann, Commentaire bernois, n. 33 et 34 ad art. 397 CO ). C'est à l'aune de ces principes qu'il y a lieu d'examiner les griefs formulés par le demandeur.</w:t>
      </w:r>
    </w:p>
    <w:p>
      <w:r>
        <w:rPr>
          <w:b/>
        </w:rPr>
        <w:t>E. 4.1</w:t>
      </w:r>
    </w:p>
    <w:p>
      <w:r>
        <w:t>Dans son recours en réforme, le demandeur développe une argumentation qui manque singulièrement de clarté. Aussi la recevabilité de ce recours est-elle pour le moins sujette à caution au regard des exigences en matière de motivation d'un tel moyen de droit ( art. 55 al. 1 let . c OJ; ATF 116 II 745 consid. 3; 106 II 175 s.). De fait, le demandeur reproche, pour l'essentiel, aux juges précédents d'avoir tenu un raisonnement qui pèche contre la logique dans la mesure où il mélange l'interprétation subjective et l'interprétation objective de l'instruction litigieuse, passant de l'une à l'autre, et vice versa, de manière tout à fait aléatoire. Pareil reproche n'est pas propre, en soi, à établir la violation du droit fédéral dénoncée par le demandeur. Pour y parvenir, celui-ci aurait dû démontrer, soit que la cour cantonale avait accordé à tort la priorité à l'interprétation objective sur l'interprétation subjective ( ATF 125 III 305 consid. 2b p. 308; 121 III 118 consid. 4b/aa), soit qu'elle avait méconnu les principes susmentionnés dans son interprétation objective de l'instruction en cause. Or, le demandeur se contente d'affirmer, d'une part, que les juges d'appel ont appliqué le principe de la confiance avant d'avoir déterminé sa volonté réelle et, d'autre part, qu'ils se sont fondés exclusivement sur le texte de la convention de prêt, ainsi que sur le fait que la banque n'était pas partie à ce contrat, alors qu'ils auraient dû, selon lui, prendre en considération l'ensemble des circonstances et, singulièrement, l'épisode du biffage des art. 6 et 7 al. 1 de ladite convention. De telles affirmations, péremptoires, ne sauraient remplacer semblable démonstration.</w:t>
      </w:r>
    </w:p>
    <w:p>
      <w:r>
        <w:rPr>
          <w:b/>
        </w:rPr>
        <w:t>E. 4.2</w:t>
      </w:r>
    </w:p>
    <w:p>
      <w:r>
        <w:t>Quoi qu'il en soit, les reproches adressés à la Cour de justice tombent à faux. En sa qualité de mandant, le demandeur devait établir le contenu des instructions qu'il avait données au défendeur et mandataire en vue du virement des 850'000 US$ sur le compte de l'emprunteur. Il lui incombait de démontrer, en particulier, que lesdites instructions ne se limitaient pas à cette simple opération comptable, mais portaient aussi sur la vérification de la réalisation des conditions fixées à l'art. 6 de la convention de prêt ( art. 8 CC ). De toute évidence, il n'a pas réussi à le faire. On ignorera ici, pour les besoins de la démonstration, l'avis de la cour cantonale, tiré du biffage des art. 6 et 7 al. 1 de ladite convention, selon lequel le demandeur aurait soit renoncé à la réalisation de ces conditions, soit reçu les documents visés par l'art. 6 de la convention, dès lors que cette conclusion est contestée dans le recours de droit public connexe. Comme les circonstances exactes de la remise de la convention de prêt au défendeur n'ont pas été totalement éclaircies, tant s'en faut, et que le demandeur affirme ne pas y avoir procédé en personne, ladite convention est le seul élément de preuve dont on dispose pour interpréter l'instruction litigieuse et pour en dégager la volonté réelle de son auteur. Cette affirmation n'est, à vrai dire, pas tout à fait exacte. Il appert, en effet, de l'arrêt déféré que les juges d'appel ont également pris en considération le comportement adopté par le demandeur postérieurement à l'exécution de son instruction pour en déduire que l'intéressé ne s'attendait pas à ce que la banque vérifiât la réalisation des conditions fixées à l'art. 6 de la convention de prêt avant d'exécuter l'ordre de virement. Ils ont ainsi mis en évidence le fait que, au moment où les premières difficultés de remboursement étaient apparues, le demandeur ne s'était pas manifesté pour savoir si les documents mentionnés dans cette clause avaient été remis au défendeur. La circonstance relevée par eux constitue un indice de la volonté réelle du demandeur. Comme telle, elle échappe à l'examen de la juridiction fédérale de réforme ( ATF 118 II 365 consid. 1 p. 366; 112 II 337 consid. 4a p. 343 et l'arrêt cité). Il est constant que le défendeur n'a participé, ni de près ni de loin, à la conclusion de la convention de prêt. Celle-ci était donc pour lui une res inter alios acta. La seule instruction que la banque ait reçu du demandeur figure à l'art. 3 de la convention, lequel prévoit que la signature vaut ordre irrévocable de virer le montant du prêt à son bénéficiaire par le débit du compte du demandeur à partir du 15 mai 1998. Hormis cet ordre, la convention ne contient aucune autre injonction expresse adressée au défendeur. Sans doute l'art. 6 de la convention énumère-t-il un certain nombre de conditions préalables au déblocage à remplir par le bénéficiaire du prêt dans un certain délai; mais il n'impose nullement au défendeur d'en vérifier la réalisation et ne précise pas même que la banque devait réceptionner les documents mentionnés dans cette disposition. Il est établi, d'autre part, que la convention n'a été remise au défendeur qu'après la date à laquelle les documents en question auraient dû être remis à qui de droit. Dans ces conditions, le défendeur était fondé à admettre de bonne foi qu'il ne lui appartenait pas de vérifier la réalisation des conditions fixées à l'art. 6 de la convention. Au demeurant, comme le soulignait déjà le Tribunal de première instance, le demandeur n'a pas établi que les documents visés par cette disposition ne lui auraient pas été remis avant le transfert des fonds, n'alléguant rien de tel ni dans la présente procédure ni dans la procédure arbitrale antérieure. Il convient de relever, à cet égard, qu'une pièce intitulée "attestation de nantissement", datée du 14 mai 1998 et signée par un notaire ivoirien, qui correspond selon toute vraisemblance au document visé par les art. 6, dernier tiret, et 7, premier alinéa, de la convention, a été versée au dossier cantonal par le demandeur sous le numéro 35. Or, la première fois que ce dernier a formulé par écrit ses reproches à l'adresse de la banque, il lui a fait grief d'avoir manqué à la diligence due "en n'appelant pas immédiatement au paiement la garantie" découlant de cette attestation (cf. lettre du conseil du demandeur à la banque du 5 février 2002; pièce 36 du demandeur). En d'autres termes, le demandeur, dans un premier temps, a reproché au défendeur, non pas d'avoir versé le montant du prêt à son bénéficiaire avant d'avoir obtenu cette garantie, comme il le fera plus tard dans le procès au fond, mais bien plutôt de n'avoir pas mis en oeuvre la principale garantie fournie en vue du remboursement de ce prêt.</w:t>
      </w:r>
    </w:p>
    <w:p>
      <w:r>
        <w:rPr>
          <w:b/>
        </w:rPr>
        <w:t>E. 5</w:t>
      </w:r>
    </w:p>
    <w:p>
      <w:r>
        <w:t>Cela étant, le présent recours n'apparaît pas fondé, si tant est qu'il soit recevable. Aussi son auteur, qui succombe, devra-t-il payer l'émolument judiciaire ( art. 156 al. 1 OJ ) et verser des dépens à la partie adverse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